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768" w:rsidRDefault="00676F59" w:rsidP="0083591C">
      <w:pPr>
        <w:pStyle w:val="is-dep"/>
      </w:pPr>
      <w:r>
        <w:t>Det kongelige Olje- og energidepartement</w:t>
      </w:r>
    </w:p>
    <w:p w:rsidR="00880768" w:rsidRDefault="00880768" w:rsidP="00880768">
      <w:pPr>
        <w:pStyle w:val="i-hode"/>
      </w:pPr>
      <w:r>
        <w:t>Prop. 1 S</w:t>
      </w:r>
    </w:p>
    <w:p w:rsidR="00880768" w:rsidRDefault="00880768" w:rsidP="00880768">
      <w:pPr>
        <w:pStyle w:val="i-sesjon"/>
      </w:pPr>
      <w:r>
        <w:t>(2018–2019)</w:t>
      </w:r>
    </w:p>
    <w:p w:rsidR="00880768" w:rsidRDefault="00880768" w:rsidP="00880768">
      <w:pPr>
        <w:pStyle w:val="i-hode-tit"/>
      </w:pPr>
      <w:r>
        <w:t>Proposisjon til Stortinget (forslag til stortingsvedtak)</w:t>
      </w:r>
    </w:p>
    <w:p w:rsidR="00880768" w:rsidRDefault="00880768" w:rsidP="00880768">
      <w:pPr>
        <w:pStyle w:val="i-termin"/>
      </w:pPr>
      <w:r>
        <w:t>FOR BUDSJETTÅRET 2019</w:t>
      </w:r>
    </w:p>
    <w:p w:rsidR="00880768" w:rsidRDefault="00880768" w:rsidP="00880768">
      <w:pPr>
        <w:pStyle w:val="i-undertit"/>
      </w:pPr>
      <w:r>
        <w:t>Utgiftskapitler: 1800–1840, 2440 og 2490</w:t>
      </w:r>
    </w:p>
    <w:p w:rsidR="00880768" w:rsidRDefault="00880768" w:rsidP="00880768">
      <w:pPr>
        <w:pStyle w:val="i-undertit"/>
      </w:pPr>
      <w:r>
        <w:t>Inntektskapitler: 4800–4820, 5440, 5490, 5582, 5680 og 5685</w:t>
      </w:r>
    </w:p>
    <w:p w:rsidR="00880768" w:rsidRPr="00676F59" w:rsidRDefault="00FC4BBB" w:rsidP="00880768">
      <w:pPr>
        <w:pStyle w:val="i-saerskilt-vedl"/>
        <w:rPr>
          <w:rFonts w:ascii="UniMyriad Bold" w:hAnsi="UniMyriad Bold" w:cs="UniMyriad Bold"/>
          <w:sz w:val="34"/>
          <w:szCs w:val="34"/>
        </w:rPr>
      </w:pPr>
      <w:r>
        <w:t xml:space="preserve">Særskilt vedlegg: </w:t>
      </w:r>
      <w:r w:rsidR="00880768">
        <w:t>Meddelte vassdragskonsesjoner, tillatelser meddelt i 2017</w:t>
      </w:r>
    </w:p>
    <w:p w:rsidR="00880768" w:rsidRPr="00676F59" w:rsidRDefault="00676F59" w:rsidP="00880768">
      <w:pPr>
        <w:pStyle w:val="i-dep"/>
      </w:pPr>
      <w:r>
        <w:t>Det kongelige Olje- og energidepartement</w:t>
      </w:r>
    </w:p>
    <w:p w:rsidR="00880768" w:rsidRDefault="00880768" w:rsidP="00880768">
      <w:pPr>
        <w:pStyle w:val="i-hode"/>
      </w:pPr>
      <w:r>
        <w:t>Prop. 1 S</w:t>
      </w:r>
    </w:p>
    <w:p w:rsidR="00880768" w:rsidRDefault="00880768" w:rsidP="00880768">
      <w:pPr>
        <w:pStyle w:val="i-sesjon"/>
      </w:pPr>
      <w:r>
        <w:t>(2018–2019)</w:t>
      </w:r>
    </w:p>
    <w:p w:rsidR="00880768" w:rsidRDefault="00880768" w:rsidP="00880768">
      <w:pPr>
        <w:pStyle w:val="i-hode-tit"/>
      </w:pPr>
      <w:r>
        <w:t>Proposisjon til Stortinget (forslag til stortingsvedtak)</w:t>
      </w:r>
    </w:p>
    <w:p w:rsidR="00880768" w:rsidRDefault="00880768" w:rsidP="00880768">
      <w:pPr>
        <w:pStyle w:val="i-termin"/>
      </w:pPr>
      <w:r>
        <w:t>FOR BUDSJETTÅRET 2019</w:t>
      </w:r>
    </w:p>
    <w:p w:rsidR="00880768" w:rsidRDefault="00880768" w:rsidP="00880768">
      <w:pPr>
        <w:pStyle w:val="i-undertit"/>
      </w:pPr>
      <w:r>
        <w:t>Utgiftskapitler: 1800–1840, 2440 og 2490</w:t>
      </w:r>
    </w:p>
    <w:p w:rsidR="00880768" w:rsidRDefault="00880768" w:rsidP="00880768">
      <w:pPr>
        <w:pStyle w:val="i-undertit"/>
      </w:pPr>
      <w:r>
        <w:t>Inntektskapitler: 4800–4820, 5440, 5490, 5582, 5680 og 5685</w:t>
      </w:r>
    </w:p>
    <w:p w:rsidR="00880768" w:rsidRDefault="00880768" w:rsidP="00880768">
      <w:pPr>
        <w:pStyle w:val="i-statsrdato"/>
      </w:pPr>
      <w:r>
        <w:t>Tilråding fra Olje- og energidepartementet 21. september 2018,</w:t>
      </w:r>
      <w:r>
        <w:br/>
        <w:t>godkjent i statsråd samme dag.</w:t>
      </w:r>
      <w:r>
        <w:br/>
        <w:t>(Regjeringen Solberg)</w:t>
      </w:r>
    </w:p>
    <w:p w:rsidR="00880768" w:rsidRDefault="00CC650B" w:rsidP="00880768">
      <w:pPr>
        <w:pStyle w:val="del-nr"/>
      </w:pPr>
      <w:r>
        <w:t>Del I</w:t>
      </w:r>
    </w:p>
    <w:p w:rsidR="00880768" w:rsidRDefault="00880768" w:rsidP="00880768">
      <w:pPr>
        <w:pStyle w:val="del-tittel"/>
        <w:rPr>
          <w:w w:val="100"/>
        </w:rPr>
      </w:pPr>
      <w:r>
        <w:rPr>
          <w:w w:val="100"/>
        </w:rPr>
        <w:t>Innledende del</w:t>
      </w:r>
    </w:p>
    <w:p w:rsidR="00880768" w:rsidRDefault="00880768" w:rsidP="00880768">
      <w:pPr>
        <w:pStyle w:val="Overskrift1"/>
      </w:pPr>
      <w:r>
        <w:t>Regjeringens petroleums- og energipolitikk</w:t>
      </w:r>
    </w:p>
    <w:p w:rsidR="00880768" w:rsidRDefault="00880768" w:rsidP="00880768">
      <w:r>
        <w:t>Et overordnet mål for regjeringens petroleums- og energipolitikk er å sikre en stabil energifors</w:t>
      </w:r>
      <w:r>
        <w:t>y</w:t>
      </w:r>
      <w:r>
        <w:t>ning og høy verdiskaping gjennom effektiv og miljøvennlig forvaltning av energiressursene. Pol</w:t>
      </w:r>
      <w:r>
        <w:t>i</w:t>
      </w:r>
      <w:r>
        <w:t>tikken skal legge til rette for at den samlede tilgangen på arbeidskraft, kunnskap, kapital og natu</w:t>
      </w:r>
      <w:r>
        <w:t>r</w:t>
      </w:r>
      <w:r>
        <w:t>ressurser utnyttes best mulig innenfor miljømessig forsvarlige rammer.</w:t>
      </w:r>
    </w:p>
    <w:p w:rsidR="00880768" w:rsidRDefault="00880768" w:rsidP="00880768">
      <w:r>
        <w:t xml:space="preserve">Regjeringen vektlegger satsing på kunnskap og forskning for å fremskaffe ny viten og utvikling av ny petroleums-, energi- og klimateknologi. </w:t>
      </w:r>
    </w:p>
    <w:p w:rsidR="00880768" w:rsidRDefault="00880768" w:rsidP="00880768">
      <w:r>
        <w:lastRenderedPageBreak/>
        <w:t xml:space="preserve">En forutsetning for økt sysselsetting, verdiskaping og aktivitet på petroleums- og energiområdet, er å gi tilgang til nye, attraktive arealer, sikre stabile og forutsigbare rammevilkår og øke innsatsen på forskning og teknologiutvikling. Norge skal være et foregangsland innen miljøvennlig energibruk og lønnsom energiproduksjon. </w:t>
      </w:r>
    </w:p>
    <w:p w:rsidR="00880768" w:rsidRDefault="00880768" w:rsidP="00880768">
      <w:pPr>
        <w:pStyle w:val="Overskrift2"/>
      </w:pPr>
      <w:r>
        <w:t>Petroleum</w:t>
      </w:r>
    </w:p>
    <w:p w:rsidR="00880768" w:rsidRDefault="00880768" w:rsidP="00880768">
      <w:r>
        <w:t>Petroleumsvirksomheten er Norges største næring målt i verdiskaping, statlige inntekter, invest</w:t>
      </w:r>
      <w:r>
        <w:t>e</w:t>
      </w:r>
      <w:r>
        <w:t>ringer og eksportverdi. Virksomheten bidrar til å finansiere velferdsstaten. I 2017 stod petroleum</w:t>
      </w:r>
      <w:r>
        <w:t>s</w:t>
      </w:r>
      <w:r>
        <w:t>sektoren for 14 prosent av all verdiskaping i landet og utgjorde om lag 39 prosent av eksportin</w:t>
      </w:r>
      <w:r>
        <w:t>n</w:t>
      </w:r>
      <w:r>
        <w:t xml:space="preserve">tektene. Selv små utbygginger på sokkelen er milliardprosjekter som ville vært store utbygginger </w:t>
      </w:r>
      <w:proofErr w:type="gramStart"/>
      <w:r>
        <w:t>hvis de ble gjennomført på land.</w:t>
      </w:r>
      <w:proofErr w:type="gramEnd"/>
      <w:r>
        <w:t xml:space="preserve"> Virksomheten sysselsetter et betydelig antall personer, og bidrar til arbeidsplasser og nærings-, teknologi- og samfunnsutvikling over hele landet. I følge Statistisk Sentralbyrås anslag for 2017 var om lag 170 200 sysselsatte i den norske økonomien direkte eller indirekte knyttet til petroleumsnæringen. </w:t>
      </w:r>
    </w:p>
    <w:p w:rsidR="00880768" w:rsidRDefault="00880768" w:rsidP="00880768">
      <w:r>
        <w:t>Ressursinnsatsen i utforskning og utvinning av petroleum gir positive læringseffekter ikke bare mellom leverandørbedrifter og innenfor næringen, men også mellom bedrifter i petroleumsn</w:t>
      </w:r>
      <w:r>
        <w:t>æ</w:t>
      </w:r>
      <w:r>
        <w:t>ringen og andre deler av økonomien. Dette gjør at leverandørindustrien er en vekstmotor og kilde til inntektsgenerering i hele økonomien. Slik sett bidrar samspillet mellom leverandørnæringen og den tradisjonelle konkurranseutsatte fastlandsindustrien til en bredere, mer robust og kunnskapsrik næringsstruktur – i hele landet.</w:t>
      </w:r>
    </w:p>
    <w:p w:rsidR="00880768" w:rsidRDefault="00880768" w:rsidP="00880768">
      <w:r>
        <w:t>Det overordnede målet for petroleumssektoren, er å legge til rette for lønnsom produksjon av olje og gass i et langsiktig perspektiv. Det skal legges til rette for kostnadseffektiv leting, utbygging og drift. Norsk petroleumsindustri skal fortsatt være ledende innen helse, miljø og sikkerhet. Sentralt for realiseringen av verdipotensialet som ligger i petroleumsressursene på norsk sokkel er å op</w:t>
      </w:r>
      <w:r>
        <w:t>p</w:t>
      </w:r>
      <w:r>
        <w:t>rettholde et effektivt og helthetlig rammeverk som er basert på kunnskap og fakta, og ha retti</w:t>
      </w:r>
      <w:r>
        <w:t>g</w:t>
      </w:r>
      <w:r>
        <w:t>hetshavere som kan og vil hente ut verdiene i bakken. Fortsatt høyt aktivitetsnivå og effektiv u</w:t>
      </w:r>
      <w:r>
        <w:t>t</w:t>
      </w:r>
      <w:r>
        <w:t>nyttelse av ressursene vil sikres gjennom økt utvinning fra eksisterende felt, utbygging av drivve</w:t>
      </w:r>
      <w:r>
        <w:t>r</w:t>
      </w:r>
      <w:r>
        <w:t xml:space="preserve">dige funn og fortsatt tilgang på attraktivt leteareal slik at de uoppdagede ressursene påvises. </w:t>
      </w:r>
    </w:p>
    <w:p w:rsidR="00880768" w:rsidRDefault="00880768" w:rsidP="00880768">
      <w:r>
        <w:t>Investeringene på norsk sokkel ligger historisk sett på et høyt nivå og representerer om lag en fe</w:t>
      </w:r>
      <w:r>
        <w:t>m</w:t>
      </w:r>
      <w:r>
        <w:t>tedel av Norges totale investering. Vi ser en økning i investeringer og aktivitetsnivå i 2018 og de nærmeste årene. Det samlede investeringsnivået inkludert lete- og fjerningskostnader i 2018 er a</w:t>
      </w:r>
      <w:r>
        <w:t>n</w:t>
      </w:r>
      <w:r>
        <w:t xml:space="preserve">slått til 155 mrd. kroner. </w:t>
      </w:r>
    </w:p>
    <w:p w:rsidR="00880768" w:rsidRDefault="00880768" w:rsidP="00880768">
      <w:pPr>
        <w:pStyle w:val="tittel-ramme"/>
      </w:pPr>
      <w:r>
        <w:t>Prioriteringer i budsjettforslaget for 2019</w:t>
      </w:r>
    </w:p>
    <w:p w:rsidR="00880768" w:rsidRDefault="00880768" w:rsidP="00880768">
      <w:r>
        <w:t xml:space="preserve">Det foreslås bevilgninger på til sammen om lag 27 864 mill. kroner til petroleumssektoren, blant annet: </w:t>
      </w:r>
    </w:p>
    <w:p w:rsidR="00880768" w:rsidRDefault="00880768" w:rsidP="00880768">
      <w:pPr>
        <w:pStyle w:val="Liste"/>
      </w:pPr>
      <w:r>
        <w:t xml:space="preserve">27 000 mill. kroner i investeringer under </w:t>
      </w:r>
      <w:r>
        <w:rPr>
          <w:rStyle w:val="kursiv"/>
          <w:sz w:val="21"/>
          <w:szCs w:val="21"/>
        </w:rPr>
        <w:t>Statens direkte økonomiske engasjement i petroleum</w:t>
      </w:r>
      <w:r>
        <w:rPr>
          <w:rStyle w:val="kursiv"/>
          <w:sz w:val="21"/>
          <w:szCs w:val="21"/>
        </w:rPr>
        <w:t>s</w:t>
      </w:r>
      <w:r>
        <w:rPr>
          <w:rStyle w:val="kursiv"/>
          <w:sz w:val="21"/>
          <w:szCs w:val="21"/>
        </w:rPr>
        <w:t xml:space="preserve">virksomheten (SDØE). </w:t>
      </w:r>
      <w:r>
        <w:t>De samlede utgiftene under SDØE anslås til 57 600 mill. kroner, mens driftsinntektene anslås til 163 500 mill. kroner. Dette gir en netto kontantstrøm fra SDØE på 105 900 mill. kroner.</w:t>
      </w:r>
    </w:p>
    <w:p w:rsidR="00880768" w:rsidRDefault="00880768" w:rsidP="00880768">
      <w:pPr>
        <w:pStyle w:val="Liste"/>
      </w:pPr>
      <w:r>
        <w:t xml:space="preserve">358,7 mill. kroner i administrasjonstilskudd til </w:t>
      </w:r>
      <w:r>
        <w:rPr>
          <w:rStyle w:val="kursiv"/>
          <w:sz w:val="21"/>
          <w:szCs w:val="21"/>
        </w:rPr>
        <w:t>Petoro AS</w:t>
      </w:r>
      <w:r>
        <w:t xml:space="preserve"> som ivaretar SDØE, statens direkte eide andeler i norsk olje- og gassvirksomhet. Petoro skal bidra til realisering av gode og lønnsomme nye feltutbygginger, realisering av tilleggsressurser og tiltak for økt utvinning, og at driften av feltene med SDØE-deltakelse effektiviseres ytterligere for å sikre langsiktig lønnsom drift. </w:t>
      </w:r>
    </w:p>
    <w:p w:rsidR="00880768" w:rsidRDefault="00880768" w:rsidP="00880768">
      <w:pPr>
        <w:pStyle w:val="Liste"/>
      </w:pPr>
      <w:r>
        <w:t xml:space="preserve">304 mill. kroner i driftsbevilgning til </w:t>
      </w:r>
      <w:r>
        <w:rPr>
          <w:rStyle w:val="kursiv"/>
          <w:spacing w:val="-2"/>
          <w:sz w:val="21"/>
          <w:szCs w:val="21"/>
        </w:rPr>
        <w:t>Oljedirektoratet</w:t>
      </w:r>
      <w:r>
        <w:t xml:space="preserve">. Det er en grunnleggende oppgave for direktoratet å bidra til å realisere mest mulig av ressurspotensialet på sokkelen og skape størst </w:t>
      </w:r>
      <w:r>
        <w:lastRenderedPageBreak/>
        <w:t xml:space="preserve">mulig verdier for samfunnet. En sentral oppgave er </w:t>
      </w:r>
      <w:proofErr w:type="gramStart"/>
      <w:r>
        <w:t>å</w:t>
      </w:r>
      <w:proofErr w:type="gramEnd"/>
      <w:r>
        <w:t xml:space="preserve"> rådgi departementet i løpende saker, følge opp leting, utbygging og drift, herunder være en pådriver for realisering av potensialet for økt utvinning på norsk sokkel. </w:t>
      </w:r>
    </w:p>
    <w:p w:rsidR="00880768" w:rsidRDefault="00880768" w:rsidP="00880768">
      <w:pPr>
        <w:pStyle w:val="Liste"/>
      </w:pPr>
      <w:r>
        <w:t xml:space="preserve">82 mill. kroner til </w:t>
      </w:r>
      <w:r>
        <w:rPr>
          <w:rStyle w:val="kursiv"/>
          <w:sz w:val="21"/>
          <w:szCs w:val="21"/>
        </w:rPr>
        <w:t>geologisk kartlegging</w:t>
      </w:r>
      <w:r>
        <w:t xml:space="preserve"> av kontinentalsokkelen. I 2019 planlegges det kun</w:t>
      </w:r>
      <w:r>
        <w:t>n</w:t>
      </w:r>
      <w:r>
        <w:t>skapsinnhenting i Barentshavet nord gjennom innsamling av 3D-seismikk over en stor grenseoverskridende struktur på delelinjen mot Russland.</w:t>
      </w:r>
    </w:p>
    <w:p w:rsidR="00880768" w:rsidRDefault="00880768">
      <w:pPr>
        <w:pStyle w:val="Ramme-slutt"/>
        <w:rPr>
          <w:sz w:val="26"/>
          <w:szCs w:val="26"/>
        </w:rPr>
      </w:pPr>
      <w:r>
        <w:rPr>
          <w:sz w:val="26"/>
          <w:szCs w:val="26"/>
        </w:rPr>
        <w:t>Rammeslutt</w:t>
      </w:r>
    </w:p>
    <w:p w:rsidR="00880768" w:rsidRDefault="00880768" w:rsidP="00880768">
      <w:pPr>
        <w:pStyle w:val="Overskrift2"/>
      </w:pPr>
      <w:r>
        <w:t>Energi og vannressurser</w:t>
      </w:r>
    </w:p>
    <w:p w:rsidR="00880768" w:rsidRDefault="00880768" w:rsidP="00880768">
      <w:r>
        <w:t>Energi- og vannressurspolitikken skal legge til rette for en effektiv, sikker og miljøvennlig energ</w:t>
      </w:r>
      <w:r>
        <w:t>i</w:t>
      </w:r>
      <w:r>
        <w:t xml:space="preserve">forsyning, lønnsom utbygging av fornybar energi, en helhetlig og miljøvennlig forvaltning av vannressursene og bedre samfunnets evne til å håndtere flom- og skredrisiko. </w:t>
      </w:r>
    </w:p>
    <w:p w:rsidR="00880768" w:rsidRDefault="00880768" w:rsidP="00880768">
      <w:r>
        <w:t xml:space="preserve">Regjeringen har i Meld. St. 25 (2015–2016) </w:t>
      </w:r>
      <w:r>
        <w:rPr>
          <w:rStyle w:val="kursiv"/>
          <w:sz w:val="21"/>
          <w:szCs w:val="21"/>
        </w:rPr>
        <w:t>Kraft til endring – Energipolitikken mot 2030</w:t>
      </w:r>
      <w:r>
        <w:t xml:space="preserve"> (energime</w:t>
      </w:r>
      <w:r>
        <w:t>l</w:t>
      </w:r>
      <w:r>
        <w:t>dingen) trukket opp retningen for en helhetlig energipolitikk der energiforsyning, klimautfordringer og næringsutvikling ses i sammenheng.</w:t>
      </w:r>
    </w:p>
    <w:p w:rsidR="00880768" w:rsidRDefault="00880768" w:rsidP="00880768">
      <w:r>
        <w:t>Norge har store energiressurser og god tilgang på fornybar energi. Det store innslaget av fornybar energi gir lave utslipp av klimagasser fra energisektoren, og utgangspunktet vårt er derfor annerl</w:t>
      </w:r>
      <w:r>
        <w:t>e</w:t>
      </w:r>
      <w:r>
        <w:t xml:space="preserve">des enn i land hvor det arbeides for å erstatte kull- og kjernekraft med fornybar energi. </w:t>
      </w:r>
    </w:p>
    <w:p w:rsidR="00880768" w:rsidRDefault="00880768" w:rsidP="00880768">
      <w:r>
        <w:t>Samfunnets krav til forsyningssikkerheten er økende. Regjeringen vil sikre fortsatt god forsyning</w:t>
      </w:r>
      <w:r>
        <w:t>s</w:t>
      </w:r>
      <w:r>
        <w:t>sikkerhet i årene framover og ta markedsløsninger i bruk for å bringe frem mer av fleksibiliteten i energisystemet. Det er viktig å legge til rette for et effektivt overføringsnett for strøm. Forbinde</w:t>
      </w:r>
      <w:r>
        <w:t>l</w:t>
      </w:r>
      <w:r>
        <w:t xml:space="preserve">sene til de europeiske energimarkedene er i ferd med å bli styrket. </w:t>
      </w:r>
    </w:p>
    <w:p w:rsidR="00880768" w:rsidRDefault="00880768" w:rsidP="00880768">
      <w:r>
        <w:t>Regjeringen vil legge til rette for lønnsom produksjon av fornybar energi i Norge. Innsatsen for å utvikle og ta i bruk nye teknologier for fornybar energi fortsetter. Den store regulerbare vannkra</w:t>
      </w:r>
      <w:r>
        <w:t>f</w:t>
      </w:r>
      <w:r>
        <w:t>ten vil fortsatt være ryggraden i energisystemet vårt og sikre en kraftforsyning basert på klim</w:t>
      </w:r>
      <w:r>
        <w:t>a</w:t>
      </w:r>
      <w:r>
        <w:t>vennlige energikilder. I tråd med Stortingets behandling av energimeldingen våren 2016, vil regj</w:t>
      </w:r>
      <w:r>
        <w:t>e</w:t>
      </w:r>
      <w:r>
        <w:t xml:space="preserve">ringen ikke innføre nye mål under elsertifikatsystemet etter at fristen for det eksisterende systemet løper ut i 2021. </w:t>
      </w:r>
    </w:p>
    <w:p w:rsidR="00880768" w:rsidRDefault="00880768" w:rsidP="00880768">
      <w:r>
        <w:t xml:space="preserve">Enova er et sentralt virkemiddel i arbeidet med å fremme innovasjon og utvikling av nye energi- og klimaløsninger. Innsatsen legger godt til rette for at bruk av fossile energikilder kan erstattes med fornybar energi i transportsektoren og andre sektorer. </w:t>
      </w:r>
    </w:p>
    <w:p w:rsidR="00880768" w:rsidRDefault="00880768" w:rsidP="00880768">
      <w:r>
        <w:t>Regjeringen vil gjøre konsesjonsbehandlingen mer effektiv. Det skal legges til rette for en forsva</w:t>
      </w:r>
      <w:r>
        <w:t>r</w:t>
      </w:r>
      <w:r>
        <w:t>lig utnyttelse av det gjenværende potensialet for ny vannkraft og en langsiktig utvikling av løn</w:t>
      </w:r>
      <w:r>
        <w:t>n</w:t>
      </w:r>
      <w:r>
        <w:t xml:space="preserve">som vindkraft. Regjeringen vil at det i konsesjonsbehandlingen av ny vannkraft framover i større grad skal legges vekt på evnen til å produsere når behovet er størst. </w:t>
      </w:r>
    </w:p>
    <w:p w:rsidR="00880768" w:rsidRDefault="00880768" w:rsidP="00880768">
      <w:r>
        <w:t>Regjeringen vil legge til rette for miljøforbedringer i vassdrag med eksisterende vannkraftutby</w:t>
      </w:r>
      <w:r>
        <w:t>g</w:t>
      </w:r>
      <w:r>
        <w:t>ginger. De miljøforbedringer som kan oppnås må veies opp mot tapt kraftproduksjon og regul</w:t>
      </w:r>
      <w:r>
        <w:t>e</w:t>
      </w:r>
      <w:r>
        <w:t xml:space="preserve">ringsevne. </w:t>
      </w:r>
    </w:p>
    <w:p w:rsidR="00880768" w:rsidRDefault="00880768" w:rsidP="00880768">
      <w:r>
        <w:t xml:space="preserve">Nasjonal ramme for vindkraft på land skal i sterkere grad enn tidligere styre hvor det søkes om konsesjon </w:t>
      </w:r>
      <w:proofErr w:type="gramStart"/>
      <w:r>
        <w:t>og</w:t>
      </w:r>
      <w:proofErr w:type="gramEnd"/>
      <w:r>
        <w:t xml:space="preserve"> bidra til at de mest egnede lokalitetene blir valgt. Regjeringen tar videre sikte på å åpne ett eller to områder for fornybar energiproduksjon til havs, og vil legge til rette for demo</w:t>
      </w:r>
      <w:r>
        <w:t>n</w:t>
      </w:r>
      <w:r>
        <w:t xml:space="preserve">strasjonsprosjekter for flytende vindkraft. </w:t>
      </w:r>
    </w:p>
    <w:p w:rsidR="00880768" w:rsidRDefault="00880768" w:rsidP="00880768">
      <w:r>
        <w:t xml:space="preserve">Flom og skred kan medføre skader på liv og helse, eiendom, infrastruktur og miljø. Det er viktig at folk opplever trygghet for liv og eiendom. Samtidig vil det ikke være mulig å sikre seg fullt ut, og vi må leve med at flom og skred kan føre til skader. Norges vassdrags- og energidirektorat skal </w:t>
      </w:r>
      <w:r>
        <w:lastRenderedPageBreak/>
        <w:t xml:space="preserve">prioritere sin bistand til kommunene etter samfunnsøkonomiske kriterier, slik at samfunnet får mest mulig igjen i form av redusert risiko for flom- og skredskader. </w:t>
      </w:r>
    </w:p>
    <w:p w:rsidR="00880768" w:rsidRDefault="00880768" w:rsidP="00880768">
      <w:pPr>
        <w:pStyle w:val="tittel-ramme"/>
      </w:pPr>
      <w:r>
        <w:t>Prioriteringer i budsjettforslaget for 2019</w:t>
      </w:r>
    </w:p>
    <w:p w:rsidR="00880768" w:rsidRDefault="00880768" w:rsidP="00880768">
      <w:r>
        <w:t>Det foreslås bevilgninger på til sammen om lag 1 101 mill. kroner til energi- og vannressurssekt</w:t>
      </w:r>
      <w:r>
        <w:t>o</w:t>
      </w:r>
      <w:r>
        <w:t xml:space="preserve">ren, blant annet: </w:t>
      </w:r>
    </w:p>
    <w:p w:rsidR="00880768" w:rsidRDefault="00880768" w:rsidP="00880768">
      <w:pPr>
        <w:pStyle w:val="Liste"/>
      </w:pPr>
      <w:r>
        <w:t xml:space="preserve">566 mill. kroner i driftsbevilgning til </w:t>
      </w:r>
      <w:r>
        <w:rPr>
          <w:rStyle w:val="kursiv"/>
          <w:sz w:val="21"/>
          <w:szCs w:val="21"/>
        </w:rPr>
        <w:t>Norges vassdrags- og energidirektorat</w:t>
      </w:r>
      <w:r>
        <w:t xml:space="preserve"> (NVE), som skal bidra til helhetlig og miljøvennlig forvaltning av vassdragene, fremme en sikker kraftfo</w:t>
      </w:r>
      <w:r>
        <w:t>r</w:t>
      </w:r>
      <w:r>
        <w:t>syning og bedre samfunnets evne til å håndtere flom- og skredrisiko.</w:t>
      </w:r>
    </w:p>
    <w:p w:rsidR="00880768" w:rsidRDefault="00880768" w:rsidP="00880768">
      <w:pPr>
        <w:pStyle w:val="Liste"/>
      </w:pPr>
      <w:r>
        <w:t xml:space="preserve">349 mill. kroner til tiltak for </w:t>
      </w:r>
      <w:r>
        <w:rPr>
          <w:rStyle w:val="kursiv"/>
          <w:sz w:val="21"/>
          <w:szCs w:val="21"/>
        </w:rPr>
        <w:t>forebygging av flom- og skredskader</w:t>
      </w:r>
      <w:r>
        <w:t>. I tillegg foreslås det 45 mill. kroner til skredsikring i Longyearbyen over Justis- og beredskapsdepartementets budsjett.</w:t>
      </w:r>
    </w:p>
    <w:p w:rsidR="00880768" w:rsidRDefault="00880768" w:rsidP="00880768">
      <w:pPr>
        <w:pStyle w:val="Liste"/>
      </w:pPr>
      <w:r>
        <w:t xml:space="preserve">13 mill. kroner i økt bevilgning til NVE for å bistå kommunene i </w:t>
      </w:r>
      <w:r>
        <w:rPr>
          <w:rStyle w:val="kursiv"/>
          <w:sz w:val="21"/>
          <w:szCs w:val="21"/>
        </w:rPr>
        <w:t>håndtering av overvann og flom i tettbygde strøk og utvide snøskredvarslingen til nye regioner.</w:t>
      </w:r>
    </w:p>
    <w:p w:rsidR="00880768" w:rsidRDefault="00880768">
      <w:pPr>
        <w:pStyle w:val="Ramme-slutt"/>
        <w:rPr>
          <w:sz w:val="26"/>
          <w:szCs w:val="26"/>
        </w:rPr>
      </w:pPr>
      <w:r>
        <w:rPr>
          <w:sz w:val="26"/>
          <w:szCs w:val="26"/>
        </w:rPr>
        <w:t>Rammeslutt</w:t>
      </w:r>
    </w:p>
    <w:p w:rsidR="00880768" w:rsidRDefault="00880768" w:rsidP="00880768">
      <w:pPr>
        <w:pStyle w:val="Overskrift2"/>
      </w:pPr>
      <w:r>
        <w:t>Forskning og næringsutvikling</w:t>
      </w:r>
    </w:p>
    <w:p w:rsidR="00880768" w:rsidRDefault="00880768" w:rsidP="00880768">
      <w:r>
        <w:t>Forskning og næringsutvikling er viktig for langsiktig verdiskaping, effektiv og bærekraftig re</w:t>
      </w:r>
      <w:r>
        <w:t>s</w:t>
      </w:r>
      <w:r>
        <w:t xml:space="preserve">sursforvaltning og utvikling av lavutslippsløsninger i energi- og petroleumssektoren. Norge har sterke forskningsmiljøer og en betydelig industriell virksomhet som er basert på utnyttelse av våre energi- og petroleumsressurser. Offentlig støtte til forskning, teknologi og næringsutvikling skal bidra til utvikling av ny næringsvirksomhet, lavere utslipp fra sektorene og at forskningsmiljøene og industrien videreutvikler sin kompetanse og er internasjonalt konkurransedyktig. </w:t>
      </w:r>
    </w:p>
    <w:p w:rsidR="00880768" w:rsidRDefault="00880768" w:rsidP="00880768">
      <w:r>
        <w:t>De overordnede målene for forskning og næringsutvikling er å bidra til økt bærekraftig verdisk</w:t>
      </w:r>
      <w:r>
        <w:t>a</w:t>
      </w:r>
      <w:r>
        <w:t xml:space="preserve">ping, sysselsetting og kompetanse i energi- og petroleumssektorene. Forsknings-, utviklings- og demonstrasjonsvirksomheten skal bidra til sikker, kostnadseffektiv og bærekraftig utnyttelse av energi- og petroleumsressursene. </w:t>
      </w:r>
    </w:p>
    <w:p w:rsidR="00880768" w:rsidRDefault="00880768" w:rsidP="00880768">
      <w:r>
        <w:t xml:space="preserve">Når det gjelder petroleumsvirksomheten, skal satsingen bidra til å ivareta samfunnets og næringens behov for langsiktig kompetanseutvikling og fremme verdiskaping og konkurransekraft i industrien og i forskningsmiljøene. Det skal utvikles ny teknologi og kunnskap som skal gjøre det mulig å finne mer ressurser, øke utvinningen, forbedre effektivitet og ytelse, redusere kostnader i utbygging og drift av petroleumsforekomster og redusere miljø- og klimapåvirkningen av virksomheten. </w:t>
      </w:r>
    </w:p>
    <w:p w:rsidR="00880768" w:rsidRDefault="00880768" w:rsidP="00880768">
      <w:r>
        <w:t>Regjeringens satsing på energiforskning skal bidra til å utnytte norske energiressurser effektivt og utvikle nødvendig kompetanse for langsiktig verdiskaping og næringsutvikling. Det skal utvikles teknologi, løsninger og kunnskap for å sikre mer effektiv og miljøvennlig energiproduksjon, ene</w:t>
      </w:r>
      <w:r>
        <w:t>r</w:t>
      </w:r>
      <w:r>
        <w:t xml:space="preserve">gioverføring og energibruk, økt energitilgang basert på miljøvennlig energi, og bedre sikkerhet og fleksibilitet. Offentlig støtte skal også bidra til utvikling av et internasjonalt konkurransedyktig forskningsmiljø og næringsliv. </w:t>
      </w:r>
    </w:p>
    <w:p w:rsidR="00880768" w:rsidRDefault="00880768" w:rsidP="00880768">
      <w:r>
        <w:t>Forskningsinnsatsen skal også gi økt kunnskap som grunnlag for politikkutforming og god forval</w:t>
      </w:r>
      <w:r>
        <w:t>t</w:t>
      </w:r>
      <w:r>
        <w:t xml:space="preserve">ning av energi- og petroleumsressursene. </w:t>
      </w:r>
    </w:p>
    <w:p w:rsidR="00880768" w:rsidRDefault="00880768" w:rsidP="00880768">
      <w:r>
        <w:t xml:space="preserve">Samtidig med forslag til statsbudsjettet for 2019, legger regjeringen frem Meld. St. 4 (2018–2019) </w:t>
      </w:r>
      <w:r>
        <w:rPr>
          <w:rStyle w:val="kursiv"/>
          <w:sz w:val="21"/>
          <w:szCs w:val="21"/>
        </w:rPr>
        <w:t>Langtidsplan for forskning og høyere utdanning 2019–2028</w:t>
      </w:r>
      <w:r>
        <w:t xml:space="preserve">. Planen er en revisjon av Meld. St. 7 (2014–2015) </w:t>
      </w:r>
      <w:r>
        <w:rPr>
          <w:rStyle w:val="kursiv"/>
          <w:sz w:val="21"/>
          <w:szCs w:val="21"/>
        </w:rPr>
        <w:t>Langtidsplan for forskning og høyere utdanning 2015–2024</w:t>
      </w:r>
      <w:r>
        <w:t>. Langtidsplanen har tiårige mål og pri</w:t>
      </w:r>
      <w:r>
        <w:t>o</w:t>
      </w:r>
      <w:r>
        <w:t>riteringer og gir uttrykk for hva regjeringen mener er særlig viktig å prioritere den kommende fir</w:t>
      </w:r>
      <w:r>
        <w:t>e</w:t>
      </w:r>
      <w:r>
        <w:t xml:space="preserve">årsperioden. For perioden 2019–2022 lanserer regjeringen tre nye opptrappingsplaner: </w:t>
      </w:r>
    </w:p>
    <w:p w:rsidR="00880768" w:rsidRDefault="00880768" w:rsidP="00880768">
      <w:pPr>
        <w:pStyle w:val="Liste"/>
      </w:pPr>
      <w:r>
        <w:t xml:space="preserve">800 mill. kroner til et teknologiløft </w:t>
      </w:r>
    </w:p>
    <w:p w:rsidR="00880768" w:rsidRDefault="00880768" w:rsidP="00880768">
      <w:pPr>
        <w:pStyle w:val="Liste"/>
      </w:pPr>
      <w:r>
        <w:lastRenderedPageBreak/>
        <w:t>450 mill. kroner til FoU for fornyelse og omstilling i næringslivet</w:t>
      </w:r>
    </w:p>
    <w:p w:rsidR="00880768" w:rsidRDefault="00880768" w:rsidP="00880768">
      <w:pPr>
        <w:pStyle w:val="Liste"/>
      </w:pPr>
      <w:r>
        <w:t>250 mill. kroner til kvalitet i høyere utdanning</w:t>
      </w:r>
    </w:p>
    <w:p w:rsidR="00880768" w:rsidRDefault="00880768" w:rsidP="00880768">
      <w:r>
        <w:t>For nærmere omtale av langtidsplanen for forskning og høyere utdanning, se del III, kapittel 5, i Prop. 1 S (2018–2019) for Kunnskapsdepartementet.</w:t>
      </w:r>
    </w:p>
    <w:p w:rsidR="00880768" w:rsidRDefault="00880768" w:rsidP="00880768">
      <w:r>
        <w:t>Regjeringens støtte for å fremme norske næringsinteresser internasjonalt skal bidra til å styrke det langsiktige grunnlaget for norsk verdiskaping og sysselsetting innenfor petroleums- og energ</w:t>
      </w:r>
      <w:r>
        <w:t>i</w:t>
      </w:r>
      <w:r>
        <w:t>næringen, ved å bruke hele virkemiddelapparatet, inkludert Norwegian Energy Partners og Innov</w:t>
      </w:r>
      <w:r>
        <w:t>a</w:t>
      </w:r>
      <w:r>
        <w:t>sjon Norge. Stiftelsen Norwegian Energy Partners (Norwep) er et av de viktigste virkemidlene for internasjonalisering av norske energirelaterte virksomheter og tilrettelegger for målrettet intern</w:t>
      </w:r>
      <w:r>
        <w:t>a</w:t>
      </w:r>
      <w:r>
        <w:t>sjonal forretningsutvikling. Innovasjon Norge bidrar også til å legge til rette for norske leverandø</w:t>
      </w:r>
      <w:r>
        <w:t>r</w:t>
      </w:r>
      <w:r>
        <w:t xml:space="preserve">bedrifters utenlandssatsing. </w:t>
      </w:r>
    </w:p>
    <w:p w:rsidR="00880768" w:rsidRDefault="00880768" w:rsidP="00880768">
      <w:r>
        <w:t>En samlet innsats på forskning, teknologi- og kompetanseutvikling samt tilrettelegging for økt i</w:t>
      </w:r>
      <w:r>
        <w:t>n</w:t>
      </w:r>
      <w:r>
        <w:t>ternasjonalisering og næringsutvikling er avgjørende for å styrke og videreutvikle konkurrans</w:t>
      </w:r>
      <w:r>
        <w:t>e</w:t>
      </w:r>
      <w:r>
        <w:t xml:space="preserve">kraften til petroleums- og energinæringene. Den er et viktig ledd i blant annet regjeringens strategi for økt eksport og internasjonalisering. </w:t>
      </w:r>
    </w:p>
    <w:p w:rsidR="00880768" w:rsidRDefault="00880768" w:rsidP="00880768">
      <w:pPr>
        <w:pStyle w:val="tittel-ramme"/>
      </w:pPr>
      <w:r>
        <w:t>Prioriteringer i budsjettforslaget for 2019</w:t>
      </w:r>
    </w:p>
    <w:p w:rsidR="00880768" w:rsidRDefault="00880768" w:rsidP="00880768">
      <w:r>
        <w:t>Det foreslås bevilgninger på til sammen 845,5 mill. kroner til forskning og næringsutvikling (ek</w:t>
      </w:r>
      <w:r>
        <w:t>s</w:t>
      </w:r>
      <w:r>
        <w:t>klusiv CO</w:t>
      </w:r>
      <w:r>
        <w:rPr>
          <w:rStyle w:val="skrift-senket"/>
          <w:sz w:val="21"/>
          <w:szCs w:val="21"/>
        </w:rPr>
        <w:t>2</w:t>
      </w:r>
      <w:r>
        <w:t xml:space="preserve">-håndtering), blant annet: </w:t>
      </w:r>
    </w:p>
    <w:p w:rsidR="00880768" w:rsidRDefault="00880768" w:rsidP="00880768">
      <w:pPr>
        <w:pStyle w:val="Liste"/>
      </w:pPr>
      <w:r>
        <w:t xml:space="preserve">470 mill. kroner til </w:t>
      </w:r>
      <w:r>
        <w:rPr>
          <w:rStyle w:val="kursiv"/>
          <w:sz w:val="21"/>
          <w:szCs w:val="21"/>
        </w:rPr>
        <w:t>energiforskning</w:t>
      </w:r>
      <w:r>
        <w:t xml:space="preserve"> gjennom Norges forskningsråd.</w:t>
      </w:r>
    </w:p>
    <w:p w:rsidR="00880768" w:rsidRDefault="00880768" w:rsidP="00880768">
      <w:pPr>
        <w:pStyle w:val="Liste"/>
      </w:pPr>
      <w:r>
        <w:t xml:space="preserve">330,5 mill. kroner til </w:t>
      </w:r>
      <w:r>
        <w:rPr>
          <w:rStyle w:val="kursiv"/>
          <w:sz w:val="21"/>
          <w:szCs w:val="21"/>
        </w:rPr>
        <w:t>petroleumsforskning</w:t>
      </w:r>
      <w:r>
        <w:t xml:space="preserve"> gjennom Norges forskningsråd. </w:t>
      </w:r>
    </w:p>
    <w:p w:rsidR="00880768" w:rsidRDefault="00880768" w:rsidP="00880768">
      <w:pPr>
        <w:pStyle w:val="Liste"/>
      </w:pPr>
      <w:r>
        <w:t xml:space="preserve">34 mill. kroner i tilskudd til </w:t>
      </w:r>
      <w:r>
        <w:rPr>
          <w:rStyle w:val="kursiv"/>
          <w:sz w:val="21"/>
          <w:szCs w:val="21"/>
        </w:rPr>
        <w:t>Norwegian Energy Partners</w:t>
      </w:r>
      <w:r>
        <w:t>.</w:t>
      </w:r>
    </w:p>
    <w:p w:rsidR="00880768" w:rsidRDefault="00880768">
      <w:pPr>
        <w:pStyle w:val="Ramme-slutt"/>
        <w:rPr>
          <w:sz w:val="26"/>
          <w:szCs w:val="26"/>
        </w:rPr>
      </w:pPr>
      <w:r>
        <w:rPr>
          <w:sz w:val="26"/>
          <w:szCs w:val="26"/>
        </w:rPr>
        <w:t>Rammeslutt</w:t>
      </w:r>
    </w:p>
    <w:p w:rsidR="00880768" w:rsidRDefault="00880768" w:rsidP="00880768">
      <w:pPr>
        <w:pStyle w:val="Overskrift2"/>
      </w:pPr>
      <w:r>
        <w:t>CO</w:t>
      </w:r>
      <w:r>
        <w:rPr>
          <w:rStyle w:val="skrift-senket"/>
          <w:szCs w:val="26"/>
        </w:rPr>
        <w:t>2</w:t>
      </w:r>
      <w:r>
        <w:t>-håndtering</w:t>
      </w:r>
    </w:p>
    <w:p w:rsidR="00880768" w:rsidRDefault="00880768" w:rsidP="00880768">
      <w:r>
        <w:t>Regjeringen vil bidra til en kostnadseffektiv teknologi for fangst, transport og lagring av CO</w:t>
      </w:r>
      <w:r>
        <w:rPr>
          <w:rStyle w:val="skrift-senket"/>
          <w:sz w:val="21"/>
          <w:szCs w:val="21"/>
        </w:rPr>
        <w:t>2</w:t>
      </w:r>
      <w:r>
        <w:t>. R</w:t>
      </w:r>
      <w:r>
        <w:t>e</w:t>
      </w:r>
      <w:r>
        <w:t>gjeringen har en ambisjon om å realisere en kostnadseffektiv løsning for fullskala CO</w:t>
      </w:r>
      <w:r>
        <w:rPr>
          <w:rStyle w:val="skrift-senket"/>
          <w:sz w:val="21"/>
          <w:szCs w:val="21"/>
        </w:rPr>
        <w:t>2</w:t>
      </w:r>
      <w:r>
        <w:t>-håndtering i Norge, gitt at dette gir teknologiutvikling i et internasjonalt perspektiv. Satsing på CO</w:t>
      </w:r>
      <w:r>
        <w:rPr>
          <w:rStyle w:val="skrift-senket"/>
          <w:sz w:val="21"/>
          <w:szCs w:val="21"/>
        </w:rPr>
        <w:t>2</w:t>
      </w:r>
      <w:r>
        <w:t>-fangst og -lagring kan være viktig for å redusere utslipp fra kull- og gasskraftverk og industrielle prosesser. Både FNs klimapanel og Det internasjonal energibyrået (IEA) peker på at det vil være svært van</w:t>
      </w:r>
      <w:r>
        <w:t>s</w:t>
      </w:r>
      <w:r>
        <w:t>kelig og mye dyrere å nå togradersmålet uten CO</w:t>
      </w:r>
      <w:r>
        <w:rPr>
          <w:rStyle w:val="skrift-senket"/>
          <w:sz w:val="21"/>
          <w:szCs w:val="21"/>
        </w:rPr>
        <w:t>2</w:t>
      </w:r>
      <w:r>
        <w:t>-håndtering. Teknologi for CO</w:t>
      </w:r>
      <w:r>
        <w:rPr>
          <w:rStyle w:val="skrift-senket"/>
          <w:sz w:val="21"/>
          <w:szCs w:val="21"/>
        </w:rPr>
        <w:t>2</w:t>
      </w:r>
      <w:r>
        <w:t>-håndtering vil også være avgjørende for senere å kunne realisere såkalte karbonnegative løsninger. Regjeringen presenterte sin strategi for arbeidet med CO</w:t>
      </w:r>
      <w:r>
        <w:rPr>
          <w:rStyle w:val="skrift-senket"/>
          <w:sz w:val="21"/>
          <w:szCs w:val="21"/>
        </w:rPr>
        <w:t>2</w:t>
      </w:r>
      <w:r>
        <w:t>-håndtering i Prop. 1 S (2014–2015) for Olje- og ene</w:t>
      </w:r>
      <w:r>
        <w:t>r</w:t>
      </w:r>
      <w:r>
        <w:t>gidepartementet. Tiltakene i strategien omfatter forskning, utvikling og demonstrasjon og arbeidet med å realisere fullskalaprosjekt med spredningspotensial. Strategien omfatter også internasjonalt arbeid for å fremme CO</w:t>
      </w:r>
      <w:r>
        <w:rPr>
          <w:rStyle w:val="skrift-senket"/>
          <w:sz w:val="21"/>
          <w:szCs w:val="21"/>
        </w:rPr>
        <w:t>2</w:t>
      </w:r>
      <w:r>
        <w:t xml:space="preserve">-håndtering. </w:t>
      </w:r>
    </w:p>
    <w:p w:rsidR="00880768" w:rsidRDefault="00880768" w:rsidP="00880768">
      <w:r>
        <w:t>Regjeringen har en ambisjon om å realisere en kostnadseffektiv løsning for CO</w:t>
      </w:r>
      <w:r>
        <w:rPr>
          <w:rStyle w:val="skrift-senket"/>
          <w:spacing w:val="-1"/>
          <w:sz w:val="21"/>
          <w:szCs w:val="21"/>
        </w:rPr>
        <w:t>2</w:t>
      </w:r>
      <w:r>
        <w:t>-håndtering, gitt at dette gir teknologiutvikling i et internasjonalt perspektiv. For å finne ut hvordan en kan nå amb</w:t>
      </w:r>
      <w:r>
        <w:t>i</w:t>
      </w:r>
      <w:r>
        <w:t xml:space="preserve">sjonen er det gjennomført idéstudier, mulighetsstudier og konseptstudier av </w:t>
      </w:r>
      <w:proofErr w:type="gramStart"/>
      <w:r>
        <w:t>et</w:t>
      </w:r>
      <w:proofErr w:type="gramEnd"/>
      <w:r>
        <w:t xml:space="preserve"> fullskala CO</w:t>
      </w:r>
      <w:r>
        <w:rPr>
          <w:rStyle w:val="skrift-senket"/>
          <w:spacing w:val="-1"/>
          <w:sz w:val="21"/>
          <w:szCs w:val="21"/>
        </w:rPr>
        <w:t>2</w:t>
      </w:r>
      <w:r>
        <w:t>-håndteringsprosjekt. Konseptstudier for fangst og transport ble ferdigstilt høsten 2017. Lage</w:t>
      </w:r>
      <w:r>
        <w:t>r</w:t>
      </w:r>
      <w:r>
        <w:t>delen av prosjektet vil gjøre ferdig konseptstudien høsten 2018. I Prop. 85 S (2017–2018) red</w:t>
      </w:r>
      <w:r>
        <w:t>e</w:t>
      </w:r>
      <w:r>
        <w:t xml:space="preserve">gjorde regjeringen for status i arbeidet med </w:t>
      </w:r>
      <w:proofErr w:type="gramStart"/>
      <w:r>
        <w:t>et</w:t>
      </w:r>
      <w:proofErr w:type="gramEnd"/>
      <w:r>
        <w:t xml:space="preserve"> fullskala demonstrasjonsanlegg for fangst og lagring av CO</w:t>
      </w:r>
      <w:r>
        <w:rPr>
          <w:rStyle w:val="skrift-senket"/>
          <w:spacing w:val="-1"/>
          <w:sz w:val="21"/>
          <w:szCs w:val="21"/>
        </w:rPr>
        <w:t>2</w:t>
      </w:r>
      <w:r>
        <w:t xml:space="preserve"> i Norge. Norcem og Fortum Oslo Varme er tildelt tilskudd for å gjennomføre forprosjekt</w:t>
      </w:r>
      <w:r>
        <w:t>e</w:t>
      </w:r>
      <w:r>
        <w:t>ring av sine fangstprosjekt. Equinor er tildelt tilskudd til å gjennomføre forprosjektering av tran</w:t>
      </w:r>
      <w:r>
        <w:t>s</w:t>
      </w:r>
      <w:r>
        <w:t>port og lager. Dette arbeidet skjer i samarbeid med Shell og Total. Når forprosjektering er fullført og ekstern kvalitetssikring (KS2 del 2) er gjennomført, vil regjeringen vurdere om et demonstr</w:t>
      </w:r>
      <w:r>
        <w:t>a</w:t>
      </w:r>
      <w:r>
        <w:lastRenderedPageBreak/>
        <w:t>sjonsprosjekt bør realiseres. Regjeringens vurdering vil legges fram for Stortinget. En invest</w:t>
      </w:r>
      <w:r>
        <w:t>e</w:t>
      </w:r>
      <w:r>
        <w:t xml:space="preserve">ringsbeslutning kan etter den nåværende fremdriftsplanen bli fattet i 2020/2021. </w:t>
      </w:r>
    </w:p>
    <w:p w:rsidR="00880768" w:rsidRDefault="00880768" w:rsidP="00880768">
      <w:r>
        <w:t>Teknologisenteret på Mongstad er en arena for utvikling, testing og kvalifisering av teknologi for CO</w:t>
      </w:r>
      <w:r>
        <w:rPr>
          <w:rStyle w:val="skrift-senket"/>
          <w:sz w:val="21"/>
          <w:szCs w:val="21"/>
        </w:rPr>
        <w:t>2</w:t>
      </w:r>
      <w:r>
        <w:t>-fangst og bidrar til internasjonal spredning av disse erfaringene, slik at kostnader og risiko for fullskala CO</w:t>
      </w:r>
      <w:r>
        <w:rPr>
          <w:rStyle w:val="skrift-senket"/>
          <w:sz w:val="21"/>
          <w:szCs w:val="21"/>
        </w:rPr>
        <w:t>2</w:t>
      </w:r>
      <w:r>
        <w:t>-fangst kan reduseres. Hovedmålet med teknologisenteret er å bidra til teknologiu</w:t>
      </w:r>
      <w:r>
        <w:t>t</w:t>
      </w:r>
      <w:r>
        <w:t>vikling for økt utbredelse av CO</w:t>
      </w:r>
      <w:r>
        <w:rPr>
          <w:rStyle w:val="skrift-senket"/>
          <w:sz w:val="21"/>
          <w:szCs w:val="21"/>
        </w:rPr>
        <w:t>2</w:t>
      </w:r>
      <w:r>
        <w:t xml:space="preserve">-fangst globalt. </w:t>
      </w:r>
    </w:p>
    <w:p w:rsidR="00880768" w:rsidRDefault="00880768" w:rsidP="00880768">
      <w:r>
        <w:t>Regjeringen vil satse videre på forskning og utvikling av CO</w:t>
      </w:r>
      <w:r>
        <w:rPr>
          <w:rStyle w:val="skrift-senket"/>
          <w:sz w:val="21"/>
          <w:szCs w:val="21"/>
        </w:rPr>
        <w:t>2</w:t>
      </w:r>
      <w:r>
        <w:t>-håndteringsteknologier. Dette inn</w:t>
      </w:r>
      <w:r>
        <w:t>e</w:t>
      </w:r>
      <w:r>
        <w:t>bærer en fortsatt satsing på CLIMIT, forskningssentre for miljøvennlig energi og internasjonale forskningsaktiviteter. CLIMIT er et nasjonalt program for forskning, utvikling og demonstrasjon av teknologier for fangst, transport og lagring av CO</w:t>
      </w:r>
      <w:r>
        <w:rPr>
          <w:rStyle w:val="skrift-senket"/>
          <w:sz w:val="21"/>
          <w:szCs w:val="21"/>
        </w:rPr>
        <w:t>2</w:t>
      </w:r>
      <w:r>
        <w:t xml:space="preserve"> fra fossilt basert kraftproduksjon og industri. </w:t>
      </w:r>
    </w:p>
    <w:p w:rsidR="00880768" w:rsidRDefault="00880768" w:rsidP="00880768">
      <w:pPr>
        <w:pStyle w:val="tittel-ramme"/>
      </w:pPr>
      <w:r>
        <w:t>Prioriteringer i budsjettforslaget for 2019</w:t>
      </w:r>
    </w:p>
    <w:p w:rsidR="00880768" w:rsidRDefault="00880768" w:rsidP="00880768">
      <w:r>
        <w:t>Det foreslås bevilgninger på til sammen 669,5 mill. kroner til arbeidet med CO</w:t>
      </w:r>
      <w:r>
        <w:rPr>
          <w:rStyle w:val="skrift-senket"/>
          <w:sz w:val="21"/>
          <w:szCs w:val="21"/>
        </w:rPr>
        <w:t>2</w:t>
      </w:r>
      <w:r>
        <w:t xml:space="preserve">-håndtering: </w:t>
      </w:r>
    </w:p>
    <w:p w:rsidR="00880768" w:rsidRDefault="00880768" w:rsidP="00880768">
      <w:pPr>
        <w:pStyle w:val="Liste"/>
      </w:pPr>
      <w:r>
        <w:t xml:space="preserve">208 mill. kroner til videre drift ved </w:t>
      </w:r>
      <w:r>
        <w:rPr>
          <w:rStyle w:val="kursiv"/>
          <w:sz w:val="21"/>
          <w:szCs w:val="21"/>
        </w:rPr>
        <w:t>Teknologisenter for CO</w:t>
      </w:r>
      <w:r>
        <w:rPr>
          <w:rStyle w:val="skrift-senket"/>
          <w:sz w:val="21"/>
          <w:szCs w:val="21"/>
        </w:rPr>
        <w:t>2</w:t>
      </w:r>
      <w:r>
        <w:rPr>
          <w:rStyle w:val="kursiv"/>
          <w:sz w:val="21"/>
          <w:szCs w:val="21"/>
        </w:rPr>
        <w:t>-fangst på Mongstad</w:t>
      </w:r>
      <w:r>
        <w:t xml:space="preserve"> (TCM). B</w:t>
      </w:r>
      <w:r>
        <w:t>e</w:t>
      </w:r>
      <w:r>
        <w:t>vilgningen skal dekke statens andel av driftsutgiftene ved anlegget.</w:t>
      </w:r>
    </w:p>
    <w:p w:rsidR="00880768" w:rsidRDefault="00880768" w:rsidP="00880768">
      <w:pPr>
        <w:pStyle w:val="Liste"/>
      </w:pPr>
      <w:r>
        <w:t xml:space="preserve">186,5 mill. kroner til </w:t>
      </w:r>
      <w:r>
        <w:rPr>
          <w:rStyle w:val="kursiv"/>
          <w:sz w:val="21"/>
          <w:szCs w:val="21"/>
        </w:rPr>
        <w:t>CLIMIT</w:t>
      </w:r>
      <w:r>
        <w:t>. Programmet gir støtte til forskning, utvikling og demonstrasjon av teknologier for CO</w:t>
      </w:r>
      <w:r>
        <w:rPr>
          <w:rStyle w:val="skrift-senket"/>
          <w:sz w:val="21"/>
          <w:szCs w:val="21"/>
        </w:rPr>
        <w:t>2</w:t>
      </w:r>
      <w:r>
        <w:t>-håndtering.</w:t>
      </w:r>
    </w:p>
    <w:p w:rsidR="00880768" w:rsidRDefault="00880768" w:rsidP="00880768">
      <w:pPr>
        <w:pStyle w:val="Liste"/>
      </w:pPr>
      <w:r>
        <w:t xml:space="preserve">126 mill. kroner i administrasjonstilskudd til </w:t>
      </w:r>
      <w:r>
        <w:rPr>
          <w:rStyle w:val="kursiv"/>
          <w:sz w:val="21"/>
          <w:szCs w:val="21"/>
        </w:rPr>
        <w:t>Gassnova SF</w:t>
      </w:r>
      <w:r>
        <w:t xml:space="preserve"> som ivaretar statens interesser knyttet til CO</w:t>
      </w:r>
      <w:r>
        <w:rPr>
          <w:rStyle w:val="skrift-senket"/>
          <w:sz w:val="21"/>
          <w:szCs w:val="21"/>
        </w:rPr>
        <w:t>2</w:t>
      </w:r>
      <w:r>
        <w:t xml:space="preserve">-håndtering, herunder oppfølging av arbeidet med å etablere </w:t>
      </w:r>
      <w:proofErr w:type="gramStart"/>
      <w:r>
        <w:t>et</w:t>
      </w:r>
      <w:proofErr w:type="gramEnd"/>
      <w:r>
        <w:t xml:space="preserve"> fullskala d</w:t>
      </w:r>
      <w:r>
        <w:t>e</w:t>
      </w:r>
      <w:r>
        <w:t>monstrasjonsprosjekt for fangst og lagring av CO</w:t>
      </w:r>
      <w:r>
        <w:rPr>
          <w:rStyle w:val="skrift-senket"/>
          <w:sz w:val="21"/>
          <w:szCs w:val="21"/>
        </w:rPr>
        <w:t>2</w:t>
      </w:r>
      <w:r>
        <w:t xml:space="preserve"> i Norge.</w:t>
      </w:r>
    </w:p>
    <w:p w:rsidR="00880768" w:rsidRDefault="00880768" w:rsidP="00880768">
      <w:pPr>
        <w:pStyle w:val="Liste"/>
      </w:pPr>
      <w:r>
        <w:t xml:space="preserve">149 mill. kroner til industriaktørenes </w:t>
      </w:r>
      <w:r>
        <w:rPr>
          <w:rStyle w:val="kursiv"/>
          <w:sz w:val="21"/>
          <w:szCs w:val="21"/>
        </w:rPr>
        <w:t>videre arbeid med planlegging av transport, lager og to fangstanlegg for CO</w:t>
      </w:r>
      <w:r>
        <w:rPr>
          <w:rStyle w:val="skrift-senket"/>
          <w:i/>
          <w:iCs/>
          <w:sz w:val="21"/>
          <w:szCs w:val="21"/>
        </w:rPr>
        <w:t>2</w:t>
      </w:r>
      <w:r>
        <w:t>.</w:t>
      </w:r>
    </w:p>
    <w:p w:rsidR="00880768" w:rsidRDefault="00880768">
      <w:pPr>
        <w:pStyle w:val="Ramme-slutt"/>
        <w:rPr>
          <w:sz w:val="26"/>
          <w:szCs w:val="26"/>
        </w:rPr>
      </w:pPr>
      <w:r>
        <w:rPr>
          <w:sz w:val="26"/>
          <w:szCs w:val="26"/>
        </w:rPr>
        <w:t>Rammeslutt</w:t>
      </w:r>
    </w:p>
    <w:p w:rsidR="00880768" w:rsidRDefault="00880768" w:rsidP="00880768">
      <w:pPr>
        <w:pStyle w:val="Overskrift2"/>
      </w:pPr>
      <w:r>
        <w:t>Klimahensyn i petroleums- og energipolitikken</w:t>
      </w:r>
    </w:p>
    <w:p w:rsidR="00880768" w:rsidRDefault="00880768" w:rsidP="00880768">
      <w:r>
        <w:t>Regjeringen fører en offensiv klimapolitikk med mål om at Norge skal bli et lavutslippssamfunn. Klimautfordringen er global og kan bare løses gjennom et bredt internasjonalt samarbeid, jf. No</w:t>
      </w:r>
      <w:r>
        <w:t>r</w:t>
      </w:r>
      <w:r>
        <w:t>ges tilslutning til Parisavtalen. Regjeringen har pekt ut fem prioriterte innsatsområder i klimapol</w:t>
      </w:r>
      <w:r>
        <w:t>i</w:t>
      </w:r>
      <w:r>
        <w:t>tikken: Reduserte utslipp i transportsektoren, utvikling av lavutslippsteknologi i industrien og ren produksjonsteknologi, CO</w:t>
      </w:r>
      <w:r>
        <w:rPr>
          <w:rStyle w:val="skrift-senket"/>
          <w:sz w:val="21"/>
          <w:szCs w:val="21"/>
        </w:rPr>
        <w:t>2</w:t>
      </w:r>
      <w:r>
        <w:t>-håndtering, styrke Norges rolle som leverandør av fornybar energi og miljøvennlig skipsfart. Olje- og energidepartementet har virkemidler innenfor flere av disse omr</w:t>
      </w:r>
      <w:r>
        <w:t>å</w:t>
      </w:r>
      <w:r>
        <w:t>dene.</w:t>
      </w:r>
    </w:p>
    <w:p w:rsidR="00880768" w:rsidRDefault="00880768" w:rsidP="00880768">
      <w:r>
        <w:t xml:space="preserve">Norge er en energinasjon. Vi er blant verdens største eksportører av olje og gass. Vi har store vannkraftressurser. Regjeringen vil forene Norges rolle som petroleumsprodusent og -eksportør med ambisjonen om å være ledende i miljø- og klimapolitikken. Sektorovergripende økonomiske virkemidler i form av avgifter og deltakelse i det europeiske kvotesystemet er hovedvirkemidlene i norsk klimapolitikk. </w:t>
      </w:r>
    </w:p>
    <w:p w:rsidR="00880768" w:rsidRDefault="00880768" w:rsidP="00880768">
      <w:r>
        <w:t>Olje- og gassproduksjonen på norsk sokkel er underlagt EUs kvotesystem for utslipp av klimaga</w:t>
      </w:r>
      <w:r>
        <w:t>s</w:t>
      </w:r>
      <w:r>
        <w:t>ser. Oljeselskapene på norsk sokkel vil dermed på lik linje med bedrifter i EU bidra til å redusere kvotepliktige utslipp med 43 prosent fra nivået i 2005 innen 2030. I tillegg betaler petroleumsvir</w:t>
      </w:r>
      <w:r>
        <w:t>k</w:t>
      </w:r>
      <w:r>
        <w:t>somheten en høy CO</w:t>
      </w:r>
      <w:r>
        <w:rPr>
          <w:rStyle w:val="skrift-senket"/>
          <w:sz w:val="21"/>
          <w:szCs w:val="21"/>
        </w:rPr>
        <w:t>2</w:t>
      </w:r>
      <w:r>
        <w:t>-avgift. Det er således på plass en sterk virkemiddelbruk for å begrense u</w:t>
      </w:r>
      <w:r>
        <w:t>t</w:t>
      </w:r>
      <w:r>
        <w:t>slippene fra olje- og gassproduksjonen i Norge. Petroleumssektoren, som omfattes av både CO</w:t>
      </w:r>
      <w:r>
        <w:rPr>
          <w:rStyle w:val="skrift-senket"/>
          <w:sz w:val="21"/>
          <w:szCs w:val="21"/>
        </w:rPr>
        <w:t>2</w:t>
      </w:r>
      <w:r>
        <w:t>-avgift og kvoteplikt, står overfor en høy pris på utslipp av klimagasser som gir næringen en sterk egeninteresse i å begrense sine utslipp. Regjeringen vil videreføre kvoteplikt og CO</w:t>
      </w:r>
      <w:r>
        <w:rPr>
          <w:rStyle w:val="skrift-senket"/>
          <w:sz w:val="21"/>
          <w:szCs w:val="21"/>
        </w:rPr>
        <w:t>2</w:t>
      </w:r>
      <w:r>
        <w:t>-avgift som hovedvirkemidler i klimapolitikken på norsk sokkel.</w:t>
      </w:r>
    </w:p>
    <w:p w:rsidR="00880768" w:rsidRDefault="00880768" w:rsidP="00880768">
      <w:r>
        <w:lastRenderedPageBreak/>
        <w:t>Forskning og utvikling på fornybar energi, miljøvennlige energiteknologier og energieffektivis</w:t>
      </w:r>
      <w:r>
        <w:t>e</w:t>
      </w:r>
      <w:r>
        <w:t>ring er viktig for å nå klima- og miljømålene og for å ha en effektiv forvaltning av energi- og p</w:t>
      </w:r>
      <w:r>
        <w:t>e</w:t>
      </w:r>
      <w:r>
        <w:t>troleumsressursene. Regjeringens satsing medvirker til å utvikle og ta i bruk nye teknologier og løsninger og til en effektiv og bærekraftig utnyttelse av de norske energi- og petroleumsressursene. Samtidig skal støtten gi norsk næringsliv og kompetansemiljøer bedre evne til å konkurrere i de internasjonale markedene for miljø- og klimavennlige energiløsninger. Olje- og energideparteme</w:t>
      </w:r>
      <w:r>
        <w:t>n</w:t>
      </w:r>
      <w:r>
        <w:t xml:space="preserve">tet er den største bidragsyteren til finansiering av miljø- og klimarelevant forskning og utvikling gjennom Norges forskningsråd. </w:t>
      </w:r>
    </w:p>
    <w:p w:rsidR="00880768" w:rsidRDefault="00880768" w:rsidP="00880768">
      <w:pPr>
        <w:pStyle w:val="Overskrift1"/>
      </w:pPr>
      <w:r>
        <w:t>Oversikt over budsjettforslaget</w:t>
      </w:r>
    </w:p>
    <w:p w:rsidR="00880768" w:rsidRDefault="00880768" w:rsidP="00880768">
      <w:pPr>
        <w:pStyle w:val="Undertittel"/>
      </w:pPr>
      <w:r>
        <w:t>Utgifter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880768" w:rsidTr="00D84971">
        <w:trPr>
          <w:trHeight w:val="640"/>
        </w:trPr>
        <w:tc>
          <w:tcPr>
            <w:tcW w:w="1020" w:type="dxa"/>
            <w:shd w:val="clear" w:color="auto" w:fill="FFFFFF"/>
          </w:tcPr>
          <w:p w:rsidR="00880768" w:rsidRDefault="00880768" w:rsidP="00D84971">
            <w:pPr>
              <w:pStyle w:val="Tabellnavn"/>
            </w:pPr>
            <w:r>
              <w:t>U</w:t>
            </w:r>
            <w:r>
              <w:t>I</w:t>
            </w:r>
            <w:r>
              <w:t>POKL</w:t>
            </w:r>
          </w:p>
        </w:tc>
        <w:tc>
          <w:tcPr>
            <w:tcW w:w="4080" w:type="dxa"/>
          </w:tcPr>
          <w:p w:rsidR="00880768" w:rsidRDefault="00880768" w:rsidP="00D84971">
            <w:pPr>
              <w:pStyle w:val="Tabellnavn"/>
            </w:pPr>
          </w:p>
        </w:tc>
        <w:tc>
          <w:tcPr>
            <w:tcW w:w="1020" w:type="dxa"/>
          </w:tcPr>
          <w:p w:rsidR="00880768" w:rsidRDefault="00880768" w:rsidP="00D84971">
            <w:pPr>
              <w:pStyle w:val="Tabellnavn"/>
              <w:jc w:val="right"/>
            </w:pPr>
          </w:p>
        </w:tc>
        <w:tc>
          <w:tcPr>
            <w:tcW w:w="1020" w:type="dxa"/>
          </w:tcPr>
          <w:p w:rsidR="00880768" w:rsidRDefault="00880768" w:rsidP="00D84971">
            <w:pPr>
              <w:pStyle w:val="Tabellnavn"/>
              <w:jc w:val="right"/>
            </w:pPr>
          </w:p>
        </w:tc>
        <w:tc>
          <w:tcPr>
            <w:tcW w:w="1020" w:type="dxa"/>
          </w:tcPr>
          <w:p w:rsidR="00880768" w:rsidRDefault="00880768" w:rsidP="00D84971">
            <w:pPr>
              <w:pStyle w:val="Tabellnavn"/>
              <w:jc w:val="right"/>
            </w:pPr>
          </w:p>
        </w:tc>
        <w:tc>
          <w:tcPr>
            <w:tcW w:w="1020" w:type="dxa"/>
          </w:tcPr>
          <w:p w:rsidR="00880768" w:rsidRDefault="00880768" w:rsidP="00D84971">
            <w:pPr>
              <w:jc w:val="right"/>
            </w:pPr>
            <w:r>
              <w:t>(i 1 000 kr)</w:t>
            </w:r>
          </w:p>
        </w:tc>
      </w:tr>
      <w:tr w:rsidR="00880768" w:rsidTr="00D84971">
        <w:trPr>
          <w:trHeight w:val="600"/>
        </w:trPr>
        <w:tc>
          <w:tcPr>
            <w:tcW w:w="1020" w:type="dxa"/>
          </w:tcPr>
          <w:p w:rsidR="00880768" w:rsidRDefault="00880768" w:rsidP="00D84971">
            <w:r>
              <w:t>Kap.</w:t>
            </w:r>
          </w:p>
        </w:tc>
        <w:tc>
          <w:tcPr>
            <w:tcW w:w="4080" w:type="dxa"/>
          </w:tcPr>
          <w:p w:rsidR="00880768" w:rsidRDefault="00880768" w:rsidP="00D84971">
            <w:r>
              <w:t>Betegnelse</w:t>
            </w:r>
          </w:p>
        </w:tc>
        <w:tc>
          <w:tcPr>
            <w:tcW w:w="1020" w:type="dxa"/>
          </w:tcPr>
          <w:p w:rsidR="00880768" w:rsidRDefault="00880768" w:rsidP="00D84971">
            <w:pPr>
              <w:jc w:val="right"/>
            </w:pPr>
            <w:r>
              <w:t>Reg</w:t>
            </w:r>
            <w:r>
              <w:t>n</w:t>
            </w:r>
            <w:r>
              <w:t>skap 2017</w:t>
            </w:r>
          </w:p>
        </w:tc>
        <w:tc>
          <w:tcPr>
            <w:tcW w:w="1020" w:type="dxa"/>
          </w:tcPr>
          <w:p w:rsidR="00880768" w:rsidRDefault="00880768" w:rsidP="00D84971">
            <w:pPr>
              <w:jc w:val="right"/>
            </w:pPr>
            <w:r>
              <w:t xml:space="preserve">Saldert </w:t>
            </w:r>
            <w:r>
              <w:rPr>
                <w:sz w:val="22"/>
              </w:rPr>
              <w:br/>
            </w:r>
            <w:r>
              <w:t>budsjett 2018</w:t>
            </w:r>
          </w:p>
        </w:tc>
        <w:tc>
          <w:tcPr>
            <w:tcW w:w="1020" w:type="dxa"/>
          </w:tcPr>
          <w:p w:rsidR="00880768" w:rsidRDefault="00880768" w:rsidP="00D84971">
            <w:pPr>
              <w:jc w:val="right"/>
            </w:pPr>
            <w:r>
              <w:t xml:space="preserve">Forslag </w:t>
            </w:r>
            <w:r>
              <w:rPr>
                <w:sz w:val="22"/>
              </w:rPr>
              <w:br/>
            </w:r>
            <w:r>
              <w:t>2019</w:t>
            </w:r>
          </w:p>
        </w:tc>
        <w:tc>
          <w:tcPr>
            <w:tcW w:w="1020" w:type="dxa"/>
          </w:tcPr>
          <w:p w:rsidR="00880768" w:rsidRDefault="00880768" w:rsidP="00D84971">
            <w:pPr>
              <w:jc w:val="right"/>
            </w:pPr>
            <w:r>
              <w:t xml:space="preserve">Pst. endr. </w:t>
            </w:r>
            <w:r>
              <w:rPr>
                <w:sz w:val="22"/>
              </w:rPr>
              <w:br/>
            </w:r>
            <w:r>
              <w:t>18/19</w:t>
            </w:r>
          </w:p>
        </w:tc>
      </w:tr>
      <w:tr w:rsidR="00880768" w:rsidTr="00D84971">
        <w:trPr>
          <w:trHeight w:val="380"/>
        </w:trPr>
        <w:tc>
          <w:tcPr>
            <w:tcW w:w="1020" w:type="dxa"/>
          </w:tcPr>
          <w:p w:rsidR="00880768" w:rsidRDefault="00880768" w:rsidP="00D84971"/>
        </w:tc>
        <w:tc>
          <w:tcPr>
            <w:tcW w:w="4080" w:type="dxa"/>
          </w:tcPr>
          <w:p w:rsidR="00880768" w:rsidRDefault="00880768" w:rsidP="00D84971">
            <w:r>
              <w:rPr>
                <w:rStyle w:val="halvfet0"/>
                <w:sz w:val="21"/>
                <w:szCs w:val="21"/>
              </w:rPr>
              <w:t>Administrasjon</w:t>
            </w:r>
          </w:p>
        </w:tc>
        <w:tc>
          <w:tcPr>
            <w:tcW w:w="1020" w:type="dxa"/>
          </w:tcPr>
          <w:p w:rsidR="00880768" w:rsidRDefault="00880768" w:rsidP="00D84971">
            <w:pPr>
              <w:jc w:val="right"/>
            </w:pPr>
          </w:p>
        </w:tc>
        <w:tc>
          <w:tcPr>
            <w:tcW w:w="1020" w:type="dxa"/>
          </w:tcPr>
          <w:p w:rsidR="00880768" w:rsidRDefault="00880768" w:rsidP="00D84971">
            <w:pPr>
              <w:jc w:val="right"/>
            </w:pPr>
          </w:p>
        </w:tc>
        <w:tc>
          <w:tcPr>
            <w:tcW w:w="1020" w:type="dxa"/>
          </w:tcPr>
          <w:p w:rsidR="00880768" w:rsidRDefault="00880768" w:rsidP="00D84971">
            <w:pPr>
              <w:jc w:val="right"/>
            </w:pPr>
          </w:p>
        </w:tc>
        <w:tc>
          <w:tcPr>
            <w:tcW w:w="1020" w:type="dxa"/>
          </w:tcPr>
          <w:p w:rsidR="00880768" w:rsidRDefault="00880768" w:rsidP="00D84971">
            <w:pPr>
              <w:jc w:val="right"/>
            </w:pPr>
          </w:p>
        </w:tc>
      </w:tr>
      <w:tr w:rsidR="00880768" w:rsidTr="00D84971">
        <w:trPr>
          <w:trHeight w:val="380"/>
        </w:trPr>
        <w:tc>
          <w:tcPr>
            <w:tcW w:w="1020" w:type="dxa"/>
          </w:tcPr>
          <w:p w:rsidR="00880768" w:rsidRDefault="00880768" w:rsidP="00D84971">
            <w:r>
              <w:t>1800</w:t>
            </w:r>
          </w:p>
        </w:tc>
        <w:tc>
          <w:tcPr>
            <w:tcW w:w="4080" w:type="dxa"/>
          </w:tcPr>
          <w:p w:rsidR="00880768" w:rsidRDefault="00880768" w:rsidP="00D84971">
            <w:r>
              <w:t>Olje- og energidepartementet</w:t>
            </w:r>
          </w:p>
        </w:tc>
        <w:tc>
          <w:tcPr>
            <w:tcW w:w="1020" w:type="dxa"/>
          </w:tcPr>
          <w:p w:rsidR="00880768" w:rsidRDefault="00880768" w:rsidP="00D84971">
            <w:pPr>
              <w:jc w:val="right"/>
            </w:pPr>
            <w:r>
              <w:t>259 955</w:t>
            </w:r>
          </w:p>
        </w:tc>
        <w:tc>
          <w:tcPr>
            <w:tcW w:w="1020" w:type="dxa"/>
          </w:tcPr>
          <w:p w:rsidR="00880768" w:rsidRDefault="00880768" w:rsidP="00D84971">
            <w:pPr>
              <w:jc w:val="right"/>
            </w:pPr>
            <w:r>
              <w:t>246 858</w:t>
            </w:r>
          </w:p>
        </w:tc>
        <w:tc>
          <w:tcPr>
            <w:tcW w:w="1020" w:type="dxa"/>
          </w:tcPr>
          <w:p w:rsidR="00880768" w:rsidRDefault="00880768" w:rsidP="00D84971">
            <w:pPr>
              <w:jc w:val="right"/>
            </w:pPr>
            <w:r>
              <w:t>243 346</w:t>
            </w:r>
          </w:p>
        </w:tc>
        <w:tc>
          <w:tcPr>
            <w:tcW w:w="1020" w:type="dxa"/>
          </w:tcPr>
          <w:p w:rsidR="00880768" w:rsidRDefault="00880768" w:rsidP="00D84971">
            <w:pPr>
              <w:jc w:val="right"/>
            </w:pPr>
            <w:r>
              <w:t>-1,4</w:t>
            </w:r>
          </w:p>
        </w:tc>
      </w:tr>
      <w:tr w:rsidR="00880768" w:rsidTr="00D84971">
        <w:trPr>
          <w:trHeight w:val="380"/>
        </w:trPr>
        <w:tc>
          <w:tcPr>
            <w:tcW w:w="1020" w:type="dxa"/>
          </w:tcPr>
          <w:p w:rsidR="00880768" w:rsidRDefault="00880768" w:rsidP="00D84971"/>
        </w:tc>
        <w:tc>
          <w:tcPr>
            <w:tcW w:w="4080" w:type="dxa"/>
          </w:tcPr>
          <w:p w:rsidR="00880768" w:rsidRDefault="00880768" w:rsidP="00D84971">
            <w:r>
              <w:rPr>
                <w:rStyle w:val="kursiv"/>
                <w:sz w:val="21"/>
                <w:szCs w:val="21"/>
              </w:rPr>
              <w:t>Sum kategori 18.00</w:t>
            </w:r>
          </w:p>
        </w:tc>
        <w:tc>
          <w:tcPr>
            <w:tcW w:w="1020" w:type="dxa"/>
          </w:tcPr>
          <w:p w:rsidR="00880768" w:rsidRDefault="00880768" w:rsidP="00D84971">
            <w:pPr>
              <w:jc w:val="right"/>
            </w:pPr>
            <w:r>
              <w:rPr>
                <w:rStyle w:val="kursiv"/>
                <w:sz w:val="21"/>
                <w:szCs w:val="21"/>
              </w:rPr>
              <w:t>259 955</w:t>
            </w:r>
          </w:p>
        </w:tc>
        <w:tc>
          <w:tcPr>
            <w:tcW w:w="1020" w:type="dxa"/>
          </w:tcPr>
          <w:p w:rsidR="00880768" w:rsidRDefault="00880768" w:rsidP="00D84971">
            <w:pPr>
              <w:jc w:val="right"/>
            </w:pPr>
            <w:r>
              <w:rPr>
                <w:rStyle w:val="kursiv"/>
                <w:sz w:val="21"/>
                <w:szCs w:val="21"/>
              </w:rPr>
              <w:t>246 858</w:t>
            </w:r>
          </w:p>
        </w:tc>
        <w:tc>
          <w:tcPr>
            <w:tcW w:w="1020" w:type="dxa"/>
          </w:tcPr>
          <w:p w:rsidR="00880768" w:rsidRDefault="00880768" w:rsidP="00D84971">
            <w:pPr>
              <w:jc w:val="right"/>
            </w:pPr>
            <w:r>
              <w:rPr>
                <w:rStyle w:val="kursiv"/>
                <w:sz w:val="21"/>
                <w:szCs w:val="21"/>
              </w:rPr>
              <w:t>243 346</w:t>
            </w:r>
          </w:p>
        </w:tc>
        <w:tc>
          <w:tcPr>
            <w:tcW w:w="1020" w:type="dxa"/>
          </w:tcPr>
          <w:p w:rsidR="00880768" w:rsidRDefault="00880768" w:rsidP="00D84971">
            <w:pPr>
              <w:jc w:val="right"/>
            </w:pPr>
            <w:r>
              <w:rPr>
                <w:rStyle w:val="kursiv"/>
                <w:sz w:val="21"/>
                <w:szCs w:val="21"/>
              </w:rPr>
              <w:t>-1,4</w:t>
            </w:r>
          </w:p>
        </w:tc>
      </w:tr>
      <w:tr w:rsidR="00880768" w:rsidTr="00D84971">
        <w:trPr>
          <w:trHeight w:val="380"/>
        </w:trPr>
        <w:tc>
          <w:tcPr>
            <w:tcW w:w="1020" w:type="dxa"/>
          </w:tcPr>
          <w:p w:rsidR="00880768" w:rsidRDefault="00880768" w:rsidP="00D84971"/>
        </w:tc>
        <w:tc>
          <w:tcPr>
            <w:tcW w:w="4080" w:type="dxa"/>
          </w:tcPr>
          <w:p w:rsidR="00880768" w:rsidRDefault="00880768" w:rsidP="00D84971">
            <w:r>
              <w:t>Petroleum</w:t>
            </w:r>
          </w:p>
        </w:tc>
        <w:tc>
          <w:tcPr>
            <w:tcW w:w="1020" w:type="dxa"/>
          </w:tcPr>
          <w:p w:rsidR="00880768" w:rsidRDefault="00880768" w:rsidP="00D84971">
            <w:pPr>
              <w:jc w:val="right"/>
            </w:pPr>
          </w:p>
        </w:tc>
        <w:tc>
          <w:tcPr>
            <w:tcW w:w="1020" w:type="dxa"/>
          </w:tcPr>
          <w:p w:rsidR="00880768" w:rsidRDefault="00880768" w:rsidP="00D84971">
            <w:pPr>
              <w:jc w:val="right"/>
            </w:pPr>
          </w:p>
        </w:tc>
        <w:tc>
          <w:tcPr>
            <w:tcW w:w="1020" w:type="dxa"/>
          </w:tcPr>
          <w:p w:rsidR="00880768" w:rsidRDefault="00880768" w:rsidP="00D84971">
            <w:pPr>
              <w:jc w:val="right"/>
            </w:pPr>
          </w:p>
        </w:tc>
        <w:tc>
          <w:tcPr>
            <w:tcW w:w="1020" w:type="dxa"/>
          </w:tcPr>
          <w:p w:rsidR="00880768" w:rsidRDefault="00880768" w:rsidP="00D84971">
            <w:pPr>
              <w:jc w:val="right"/>
            </w:pPr>
          </w:p>
        </w:tc>
      </w:tr>
      <w:tr w:rsidR="00880768" w:rsidTr="00D84971">
        <w:trPr>
          <w:trHeight w:val="380"/>
        </w:trPr>
        <w:tc>
          <w:tcPr>
            <w:tcW w:w="1020" w:type="dxa"/>
          </w:tcPr>
          <w:p w:rsidR="00880768" w:rsidRDefault="00880768" w:rsidP="00D84971">
            <w:r>
              <w:t>1810</w:t>
            </w:r>
          </w:p>
        </w:tc>
        <w:tc>
          <w:tcPr>
            <w:tcW w:w="4080" w:type="dxa"/>
          </w:tcPr>
          <w:p w:rsidR="00880768" w:rsidRDefault="00880768" w:rsidP="00D84971">
            <w:r>
              <w:t>Oljedirektoratet</w:t>
            </w:r>
          </w:p>
        </w:tc>
        <w:tc>
          <w:tcPr>
            <w:tcW w:w="1020" w:type="dxa"/>
          </w:tcPr>
          <w:p w:rsidR="00880768" w:rsidRDefault="00880768" w:rsidP="00D84971">
            <w:pPr>
              <w:jc w:val="right"/>
            </w:pPr>
            <w:r>
              <w:t>447 207</w:t>
            </w:r>
          </w:p>
        </w:tc>
        <w:tc>
          <w:tcPr>
            <w:tcW w:w="1020" w:type="dxa"/>
          </w:tcPr>
          <w:p w:rsidR="00880768" w:rsidRDefault="00880768" w:rsidP="00D84971">
            <w:pPr>
              <w:jc w:val="right"/>
            </w:pPr>
            <w:r>
              <w:t>446 485</w:t>
            </w:r>
          </w:p>
        </w:tc>
        <w:tc>
          <w:tcPr>
            <w:tcW w:w="1020" w:type="dxa"/>
          </w:tcPr>
          <w:p w:rsidR="00880768" w:rsidRDefault="00880768" w:rsidP="00D84971">
            <w:pPr>
              <w:jc w:val="right"/>
            </w:pPr>
            <w:r>
              <w:t>505 000</w:t>
            </w:r>
          </w:p>
        </w:tc>
        <w:tc>
          <w:tcPr>
            <w:tcW w:w="1020" w:type="dxa"/>
          </w:tcPr>
          <w:p w:rsidR="00880768" w:rsidRDefault="00880768" w:rsidP="00D84971">
            <w:pPr>
              <w:jc w:val="right"/>
            </w:pPr>
            <w:r>
              <w:t>13,1</w:t>
            </w:r>
          </w:p>
        </w:tc>
      </w:tr>
      <w:tr w:rsidR="00880768" w:rsidTr="00D84971">
        <w:trPr>
          <w:trHeight w:val="380"/>
        </w:trPr>
        <w:tc>
          <w:tcPr>
            <w:tcW w:w="1020" w:type="dxa"/>
          </w:tcPr>
          <w:p w:rsidR="00880768" w:rsidRDefault="00880768" w:rsidP="00D84971">
            <w:r>
              <w:t>1811</w:t>
            </w:r>
          </w:p>
        </w:tc>
        <w:tc>
          <w:tcPr>
            <w:tcW w:w="4080" w:type="dxa"/>
          </w:tcPr>
          <w:p w:rsidR="00880768" w:rsidRDefault="00880768" w:rsidP="00D84971">
            <w:r>
              <w:t>Equinor ASA</w:t>
            </w:r>
          </w:p>
        </w:tc>
        <w:tc>
          <w:tcPr>
            <w:tcW w:w="1020" w:type="dxa"/>
          </w:tcPr>
          <w:p w:rsidR="00880768" w:rsidRDefault="00880768" w:rsidP="00D84971">
            <w:pPr>
              <w:jc w:val="right"/>
            </w:pPr>
            <w:r>
              <w:t>7 538 949</w:t>
            </w:r>
          </w:p>
        </w:tc>
        <w:tc>
          <w:tcPr>
            <w:tcW w:w="1020" w:type="dxa"/>
          </w:tcPr>
          <w:p w:rsidR="00880768" w:rsidRDefault="00880768" w:rsidP="00D84971">
            <w:pPr>
              <w:jc w:val="right"/>
            </w:pPr>
            <w:r>
              <w:t>1 900 000</w:t>
            </w:r>
          </w:p>
        </w:tc>
        <w:tc>
          <w:tcPr>
            <w:tcW w:w="1020" w:type="dxa"/>
          </w:tcPr>
          <w:p w:rsidR="00880768" w:rsidRDefault="00880768" w:rsidP="00D84971">
            <w:pPr>
              <w:jc w:val="right"/>
            </w:pPr>
          </w:p>
        </w:tc>
        <w:tc>
          <w:tcPr>
            <w:tcW w:w="1020" w:type="dxa"/>
          </w:tcPr>
          <w:p w:rsidR="00880768" w:rsidRDefault="00880768" w:rsidP="00D84971">
            <w:pPr>
              <w:jc w:val="right"/>
            </w:pPr>
            <w:r>
              <w:t>-100,0</w:t>
            </w:r>
          </w:p>
        </w:tc>
      </w:tr>
      <w:tr w:rsidR="00880768" w:rsidTr="00D84971">
        <w:trPr>
          <w:trHeight w:val="380"/>
        </w:trPr>
        <w:tc>
          <w:tcPr>
            <w:tcW w:w="1020" w:type="dxa"/>
          </w:tcPr>
          <w:p w:rsidR="00880768" w:rsidRDefault="00880768" w:rsidP="00D84971">
            <w:r>
              <w:t>1815</w:t>
            </w:r>
          </w:p>
        </w:tc>
        <w:tc>
          <w:tcPr>
            <w:tcW w:w="4080" w:type="dxa"/>
          </w:tcPr>
          <w:p w:rsidR="00880768" w:rsidRDefault="00880768" w:rsidP="00D84971">
            <w:r>
              <w:t>Petoro AS</w:t>
            </w:r>
          </w:p>
        </w:tc>
        <w:tc>
          <w:tcPr>
            <w:tcW w:w="1020" w:type="dxa"/>
          </w:tcPr>
          <w:p w:rsidR="00880768" w:rsidRDefault="00880768" w:rsidP="00D84971">
            <w:pPr>
              <w:jc w:val="right"/>
            </w:pPr>
            <w:r>
              <w:t>348 935</w:t>
            </w:r>
          </w:p>
        </w:tc>
        <w:tc>
          <w:tcPr>
            <w:tcW w:w="1020" w:type="dxa"/>
          </w:tcPr>
          <w:p w:rsidR="00880768" w:rsidRDefault="00880768" w:rsidP="00D84971">
            <w:pPr>
              <w:jc w:val="right"/>
            </w:pPr>
            <w:r>
              <w:t>380 512</w:t>
            </w:r>
          </w:p>
        </w:tc>
        <w:tc>
          <w:tcPr>
            <w:tcW w:w="1020" w:type="dxa"/>
          </w:tcPr>
          <w:p w:rsidR="00880768" w:rsidRDefault="00880768" w:rsidP="00D84971">
            <w:pPr>
              <w:jc w:val="right"/>
            </w:pPr>
            <w:r>
              <w:t>358 700</w:t>
            </w:r>
          </w:p>
        </w:tc>
        <w:tc>
          <w:tcPr>
            <w:tcW w:w="1020" w:type="dxa"/>
          </w:tcPr>
          <w:p w:rsidR="00880768" w:rsidRDefault="00880768" w:rsidP="00D84971">
            <w:pPr>
              <w:jc w:val="right"/>
            </w:pPr>
            <w:r>
              <w:t>-5,7</w:t>
            </w:r>
          </w:p>
        </w:tc>
      </w:tr>
      <w:tr w:rsidR="00880768" w:rsidTr="00D84971">
        <w:trPr>
          <w:trHeight w:val="640"/>
        </w:trPr>
        <w:tc>
          <w:tcPr>
            <w:tcW w:w="1020" w:type="dxa"/>
          </w:tcPr>
          <w:p w:rsidR="00880768" w:rsidRDefault="00880768" w:rsidP="00D84971">
            <w:r>
              <w:t>2440</w:t>
            </w:r>
          </w:p>
        </w:tc>
        <w:tc>
          <w:tcPr>
            <w:tcW w:w="4080" w:type="dxa"/>
          </w:tcPr>
          <w:p w:rsidR="00880768" w:rsidRDefault="00880768" w:rsidP="00D84971">
            <w:r>
              <w:t>Statens direkte økonomiske engasj</w:t>
            </w:r>
            <w:r>
              <w:t>e</w:t>
            </w:r>
            <w:r>
              <w:t>ment i petroleumsvirksomheten</w:t>
            </w:r>
          </w:p>
        </w:tc>
        <w:tc>
          <w:tcPr>
            <w:tcW w:w="1020" w:type="dxa"/>
          </w:tcPr>
          <w:p w:rsidR="00880768" w:rsidRDefault="00880768" w:rsidP="00D84971">
            <w:pPr>
              <w:jc w:val="right"/>
            </w:pPr>
            <w:r>
              <w:t>26 564 055</w:t>
            </w:r>
          </w:p>
        </w:tc>
        <w:tc>
          <w:tcPr>
            <w:tcW w:w="1020" w:type="dxa"/>
          </w:tcPr>
          <w:p w:rsidR="00880768" w:rsidRDefault="00880768" w:rsidP="00D84971">
            <w:pPr>
              <w:jc w:val="right"/>
            </w:pPr>
            <w:r>
              <w:t>25 000 000</w:t>
            </w:r>
          </w:p>
        </w:tc>
        <w:tc>
          <w:tcPr>
            <w:tcW w:w="1020" w:type="dxa"/>
          </w:tcPr>
          <w:p w:rsidR="00880768" w:rsidRDefault="00880768" w:rsidP="00D84971">
            <w:pPr>
              <w:jc w:val="right"/>
            </w:pPr>
            <w:r>
              <w:t>27 000 000</w:t>
            </w:r>
          </w:p>
        </w:tc>
        <w:tc>
          <w:tcPr>
            <w:tcW w:w="1020" w:type="dxa"/>
          </w:tcPr>
          <w:p w:rsidR="00880768" w:rsidRDefault="00880768" w:rsidP="00D84971">
            <w:pPr>
              <w:jc w:val="right"/>
            </w:pPr>
            <w:r>
              <w:t>8,0</w:t>
            </w:r>
          </w:p>
        </w:tc>
      </w:tr>
      <w:tr w:rsidR="00880768" w:rsidTr="00D84971">
        <w:trPr>
          <w:trHeight w:val="380"/>
        </w:trPr>
        <w:tc>
          <w:tcPr>
            <w:tcW w:w="1020" w:type="dxa"/>
          </w:tcPr>
          <w:p w:rsidR="00880768" w:rsidRDefault="00880768" w:rsidP="00D84971"/>
        </w:tc>
        <w:tc>
          <w:tcPr>
            <w:tcW w:w="4080" w:type="dxa"/>
          </w:tcPr>
          <w:p w:rsidR="00880768" w:rsidRDefault="00880768" w:rsidP="00D84971">
            <w:r>
              <w:rPr>
                <w:rStyle w:val="kursiv"/>
                <w:sz w:val="21"/>
                <w:szCs w:val="21"/>
              </w:rPr>
              <w:t>Sum kategori 18.10</w:t>
            </w:r>
          </w:p>
        </w:tc>
        <w:tc>
          <w:tcPr>
            <w:tcW w:w="1020" w:type="dxa"/>
          </w:tcPr>
          <w:p w:rsidR="00880768" w:rsidRDefault="00880768" w:rsidP="00D84971">
            <w:pPr>
              <w:jc w:val="right"/>
            </w:pPr>
            <w:r>
              <w:rPr>
                <w:rStyle w:val="kursiv"/>
                <w:sz w:val="21"/>
                <w:szCs w:val="21"/>
              </w:rPr>
              <w:t>34 899 146</w:t>
            </w:r>
          </w:p>
        </w:tc>
        <w:tc>
          <w:tcPr>
            <w:tcW w:w="1020" w:type="dxa"/>
          </w:tcPr>
          <w:p w:rsidR="00880768" w:rsidRDefault="00880768" w:rsidP="00D84971">
            <w:pPr>
              <w:jc w:val="right"/>
            </w:pPr>
            <w:r>
              <w:rPr>
                <w:rStyle w:val="kursiv"/>
                <w:sz w:val="21"/>
                <w:szCs w:val="21"/>
              </w:rPr>
              <w:t>27 726 997</w:t>
            </w:r>
          </w:p>
        </w:tc>
        <w:tc>
          <w:tcPr>
            <w:tcW w:w="1020" w:type="dxa"/>
          </w:tcPr>
          <w:p w:rsidR="00880768" w:rsidRDefault="00880768" w:rsidP="00D84971">
            <w:pPr>
              <w:jc w:val="right"/>
            </w:pPr>
            <w:r>
              <w:rPr>
                <w:rStyle w:val="kursiv"/>
                <w:sz w:val="21"/>
                <w:szCs w:val="21"/>
              </w:rPr>
              <w:t>27 863 700</w:t>
            </w:r>
          </w:p>
        </w:tc>
        <w:tc>
          <w:tcPr>
            <w:tcW w:w="1020" w:type="dxa"/>
          </w:tcPr>
          <w:p w:rsidR="00880768" w:rsidRDefault="00880768" w:rsidP="00D84971">
            <w:pPr>
              <w:jc w:val="right"/>
            </w:pPr>
            <w:r>
              <w:rPr>
                <w:rStyle w:val="kursiv"/>
                <w:sz w:val="21"/>
                <w:szCs w:val="21"/>
              </w:rPr>
              <w:t>0,5</w:t>
            </w:r>
          </w:p>
        </w:tc>
      </w:tr>
      <w:tr w:rsidR="00880768" w:rsidTr="00D84971">
        <w:trPr>
          <w:trHeight w:val="380"/>
        </w:trPr>
        <w:tc>
          <w:tcPr>
            <w:tcW w:w="1020" w:type="dxa"/>
          </w:tcPr>
          <w:p w:rsidR="00880768" w:rsidRDefault="00880768" w:rsidP="00D84971"/>
        </w:tc>
        <w:tc>
          <w:tcPr>
            <w:tcW w:w="4080" w:type="dxa"/>
          </w:tcPr>
          <w:p w:rsidR="00880768" w:rsidRDefault="00880768" w:rsidP="00D84971">
            <w:r>
              <w:rPr>
                <w:rStyle w:val="halvfet0"/>
                <w:sz w:val="21"/>
                <w:szCs w:val="21"/>
              </w:rPr>
              <w:t>Energi og vannressurser</w:t>
            </w:r>
          </w:p>
        </w:tc>
        <w:tc>
          <w:tcPr>
            <w:tcW w:w="1020" w:type="dxa"/>
          </w:tcPr>
          <w:p w:rsidR="00880768" w:rsidRDefault="00880768" w:rsidP="00D84971">
            <w:pPr>
              <w:jc w:val="right"/>
            </w:pPr>
          </w:p>
        </w:tc>
        <w:tc>
          <w:tcPr>
            <w:tcW w:w="1020" w:type="dxa"/>
          </w:tcPr>
          <w:p w:rsidR="00880768" w:rsidRDefault="00880768" w:rsidP="00D84971">
            <w:pPr>
              <w:jc w:val="right"/>
            </w:pPr>
          </w:p>
        </w:tc>
        <w:tc>
          <w:tcPr>
            <w:tcW w:w="1020" w:type="dxa"/>
          </w:tcPr>
          <w:p w:rsidR="00880768" w:rsidRDefault="00880768" w:rsidP="00D84971">
            <w:pPr>
              <w:jc w:val="right"/>
            </w:pPr>
          </w:p>
        </w:tc>
        <w:tc>
          <w:tcPr>
            <w:tcW w:w="1020" w:type="dxa"/>
          </w:tcPr>
          <w:p w:rsidR="00880768" w:rsidRDefault="00880768" w:rsidP="00D84971">
            <w:pPr>
              <w:jc w:val="right"/>
            </w:pPr>
          </w:p>
        </w:tc>
      </w:tr>
      <w:tr w:rsidR="00880768" w:rsidTr="00D84971">
        <w:trPr>
          <w:trHeight w:val="640"/>
        </w:trPr>
        <w:tc>
          <w:tcPr>
            <w:tcW w:w="1020" w:type="dxa"/>
          </w:tcPr>
          <w:p w:rsidR="00880768" w:rsidRDefault="00880768" w:rsidP="00D84971">
            <w:r>
              <w:t>1820</w:t>
            </w:r>
          </w:p>
        </w:tc>
        <w:tc>
          <w:tcPr>
            <w:tcW w:w="4080" w:type="dxa"/>
          </w:tcPr>
          <w:p w:rsidR="00880768" w:rsidRDefault="00880768" w:rsidP="00D84971">
            <w:r>
              <w:t>Norges vassdrags- og energidirektorat</w:t>
            </w:r>
          </w:p>
        </w:tc>
        <w:tc>
          <w:tcPr>
            <w:tcW w:w="1020" w:type="dxa"/>
          </w:tcPr>
          <w:p w:rsidR="00880768" w:rsidRDefault="00880768" w:rsidP="00D84971">
            <w:pPr>
              <w:jc w:val="right"/>
            </w:pPr>
            <w:r>
              <w:t>1 096 494</w:t>
            </w:r>
          </w:p>
        </w:tc>
        <w:tc>
          <w:tcPr>
            <w:tcW w:w="1020" w:type="dxa"/>
          </w:tcPr>
          <w:p w:rsidR="00880768" w:rsidRDefault="00880768" w:rsidP="00D84971">
            <w:pPr>
              <w:jc w:val="right"/>
            </w:pPr>
            <w:r>
              <w:t>1 080 642</w:t>
            </w:r>
          </w:p>
        </w:tc>
        <w:tc>
          <w:tcPr>
            <w:tcW w:w="1020" w:type="dxa"/>
          </w:tcPr>
          <w:p w:rsidR="00880768" w:rsidRDefault="00880768" w:rsidP="00D84971">
            <w:pPr>
              <w:jc w:val="right"/>
            </w:pPr>
            <w:r>
              <w:t>1 101 100</w:t>
            </w:r>
          </w:p>
        </w:tc>
        <w:tc>
          <w:tcPr>
            <w:tcW w:w="1020" w:type="dxa"/>
          </w:tcPr>
          <w:p w:rsidR="00880768" w:rsidRDefault="00880768" w:rsidP="00D84971">
            <w:pPr>
              <w:jc w:val="right"/>
            </w:pPr>
            <w:r>
              <w:t>1,9</w:t>
            </w:r>
          </w:p>
        </w:tc>
      </w:tr>
      <w:tr w:rsidR="00880768" w:rsidTr="00D84971">
        <w:trPr>
          <w:trHeight w:val="640"/>
        </w:trPr>
        <w:tc>
          <w:tcPr>
            <w:tcW w:w="1020" w:type="dxa"/>
          </w:tcPr>
          <w:p w:rsidR="00880768" w:rsidRDefault="00880768" w:rsidP="00D84971">
            <w:r>
              <w:t>1825</w:t>
            </w:r>
          </w:p>
        </w:tc>
        <w:tc>
          <w:tcPr>
            <w:tcW w:w="4080" w:type="dxa"/>
          </w:tcPr>
          <w:p w:rsidR="00880768" w:rsidRDefault="00880768" w:rsidP="00D84971">
            <w:r>
              <w:t>Energiomlegging, energi- og klimate</w:t>
            </w:r>
            <w:r>
              <w:t>k</w:t>
            </w:r>
            <w:r>
              <w:t>nologi</w:t>
            </w:r>
          </w:p>
        </w:tc>
        <w:tc>
          <w:tcPr>
            <w:tcW w:w="1020" w:type="dxa"/>
          </w:tcPr>
          <w:p w:rsidR="00880768" w:rsidRDefault="00880768" w:rsidP="00D84971">
            <w:pPr>
              <w:jc w:val="right"/>
            </w:pPr>
            <w:r>
              <w:t>2 651 743</w:t>
            </w:r>
          </w:p>
        </w:tc>
        <w:tc>
          <w:tcPr>
            <w:tcW w:w="1020" w:type="dxa"/>
          </w:tcPr>
          <w:p w:rsidR="00880768" w:rsidRDefault="00880768" w:rsidP="00D84971">
            <w:pPr>
              <w:jc w:val="right"/>
            </w:pPr>
            <w:r>
              <w:t>2 720 000</w:t>
            </w:r>
          </w:p>
        </w:tc>
        <w:tc>
          <w:tcPr>
            <w:tcW w:w="1020" w:type="dxa"/>
          </w:tcPr>
          <w:p w:rsidR="00880768" w:rsidRDefault="00880768" w:rsidP="00D84971">
            <w:pPr>
              <w:jc w:val="right"/>
            </w:pPr>
          </w:p>
        </w:tc>
        <w:tc>
          <w:tcPr>
            <w:tcW w:w="1020" w:type="dxa"/>
          </w:tcPr>
          <w:p w:rsidR="00880768" w:rsidRDefault="00880768" w:rsidP="00D84971">
            <w:pPr>
              <w:jc w:val="right"/>
            </w:pPr>
            <w:r>
              <w:t>-100,0</w:t>
            </w:r>
          </w:p>
        </w:tc>
      </w:tr>
      <w:tr w:rsidR="00880768" w:rsidTr="00D84971">
        <w:trPr>
          <w:trHeight w:val="380"/>
        </w:trPr>
        <w:tc>
          <w:tcPr>
            <w:tcW w:w="1020" w:type="dxa"/>
          </w:tcPr>
          <w:p w:rsidR="00880768" w:rsidRDefault="00880768" w:rsidP="00D84971">
            <w:r>
              <w:t>2490</w:t>
            </w:r>
          </w:p>
        </w:tc>
        <w:tc>
          <w:tcPr>
            <w:tcW w:w="4080" w:type="dxa"/>
          </w:tcPr>
          <w:p w:rsidR="00880768" w:rsidRDefault="00880768" w:rsidP="00D84971">
            <w:r>
              <w:t>NVE Anlegg</w:t>
            </w:r>
          </w:p>
        </w:tc>
        <w:tc>
          <w:tcPr>
            <w:tcW w:w="1020" w:type="dxa"/>
          </w:tcPr>
          <w:p w:rsidR="00880768" w:rsidRDefault="00880768" w:rsidP="00D84971">
            <w:pPr>
              <w:jc w:val="right"/>
            </w:pPr>
            <w:r>
              <w:t>-12 249</w:t>
            </w:r>
          </w:p>
        </w:tc>
        <w:tc>
          <w:tcPr>
            <w:tcW w:w="1020" w:type="dxa"/>
          </w:tcPr>
          <w:p w:rsidR="00880768" w:rsidRDefault="00880768" w:rsidP="00D84971">
            <w:pPr>
              <w:jc w:val="right"/>
            </w:pPr>
            <w:r>
              <w:t>-5 000</w:t>
            </w:r>
          </w:p>
        </w:tc>
        <w:tc>
          <w:tcPr>
            <w:tcW w:w="1020" w:type="dxa"/>
          </w:tcPr>
          <w:p w:rsidR="00880768" w:rsidRDefault="00880768" w:rsidP="00D84971">
            <w:pPr>
              <w:jc w:val="right"/>
            </w:pPr>
          </w:p>
        </w:tc>
        <w:tc>
          <w:tcPr>
            <w:tcW w:w="1020" w:type="dxa"/>
          </w:tcPr>
          <w:p w:rsidR="00880768" w:rsidRDefault="00880768" w:rsidP="00D84971">
            <w:pPr>
              <w:jc w:val="right"/>
            </w:pPr>
            <w:r>
              <w:t>-100,0</w:t>
            </w:r>
          </w:p>
        </w:tc>
      </w:tr>
      <w:tr w:rsidR="00880768" w:rsidTr="00D84971">
        <w:trPr>
          <w:trHeight w:val="380"/>
        </w:trPr>
        <w:tc>
          <w:tcPr>
            <w:tcW w:w="1020" w:type="dxa"/>
          </w:tcPr>
          <w:p w:rsidR="00880768" w:rsidRDefault="00880768" w:rsidP="00D84971"/>
        </w:tc>
        <w:tc>
          <w:tcPr>
            <w:tcW w:w="4080" w:type="dxa"/>
          </w:tcPr>
          <w:p w:rsidR="00880768" w:rsidRDefault="00880768" w:rsidP="00D84971">
            <w:r>
              <w:rPr>
                <w:rStyle w:val="kursiv"/>
                <w:sz w:val="21"/>
                <w:szCs w:val="21"/>
              </w:rPr>
              <w:t>Sum kategori 18.20</w:t>
            </w:r>
          </w:p>
        </w:tc>
        <w:tc>
          <w:tcPr>
            <w:tcW w:w="1020" w:type="dxa"/>
          </w:tcPr>
          <w:p w:rsidR="00880768" w:rsidRDefault="00880768" w:rsidP="00D84971">
            <w:pPr>
              <w:jc w:val="right"/>
            </w:pPr>
            <w:r>
              <w:rPr>
                <w:rStyle w:val="kursiv"/>
                <w:sz w:val="21"/>
                <w:szCs w:val="21"/>
              </w:rPr>
              <w:t>3 735 988</w:t>
            </w:r>
          </w:p>
        </w:tc>
        <w:tc>
          <w:tcPr>
            <w:tcW w:w="1020" w:type="dxa"/>
          </w:tcPr>
          <w:p w:rsidR="00880768" w:rsidRDefault="00880768" w:rsidP="00D84971">
            <w:pPr>
              <w:jc w:val="right"/>
            </w:pPr>
            <w:r>
              <w:rPr>
                <w:rStyle w:val="kursiv"/>
                <w:sz w:val="21"/>
                <w:szCs w:val="21"/>
              </w:rPr>
              <w:t>3 795 642</w:t>
            </w:r>
          </w:p>
        </w:tc>
        <w:tc>
          <w:tcPr>
            <w:tcW w:w="1020" w:type="dxa"/>
          </w:tcPr>
          <w:p w:rsidR="00880768" w:rsidRDefault="00880768" w:rsidP="00D84971">
            <w:pPr>
              <w:jc w:val="right"/>
            </w:pPr>
            <w:r>
              <w:rPr>
                <w:rStyle w:val="kursiv"/>
                <w:sz w:val="21"/>
                <w:szCs w:val="21"/>
              </w:rPr>
              <w:t>1 101 100</w:t>
            </w:r>
          </w:p>
        </w:tc>
        <w:tc>
          <w:tcPr>
            <w:tcW w:w="1020" w:type="dxa"/>
          </w:tcPr>
          <w:p w:rsidR="00880768" w:rsidRDefault="00880768" w:rsidP="00D84971">
            <w:pPr>
              <w:jc w:val="right"/>
            </w:pPr>
            <w:r>
              <w:rPr>
                <w:rStyle w:val="kursiv"/>
                <w:sz w:val="21"/>
                <w:szCs w:val="21"/>
              </w:rPr>
              <w:t>-71,0</w:t>
            </w:r>
          </w:p>
        </w:tc>
      </w:tr>
      <w:tr w:rsidR="00880768" w:rsidTr="00D84971">
        <w:trPr>
          <w:trHeight w:val="380"/>
        </w:trPr>
        <w:tc>
          <w:tcPr>
            <w:tcW w:w="1020" w:type="dxa"/>
          </w:tcPr>
          <w:p w:rsidR="00880768" w:rsidRDefault="00880768" w:rsidP="00D84971"/>
        </w:tc>
        <w:tc>
          <w:tcPr>
            <w:tcW w:w="4080" w:type="dxa"/>
          </w:tcPr>
          <w:p w:rsidR="00880768" w:rsidRDefault="00880768" w:rsidP="00D84971">
            <w:r>
              <w:rPr>
                <w:rStyle w:val="halvfet0"/>
                <w:sz w:val="21"/>
                <w:szCs w:val="21"/>
              </w:rPr>
              <w:t>Forskning og næringsutvikling</w:t>
            </w:r>
          </w:p>
        </w:tc>
        <w:tc>
          <w:tcPr>
            <w:tcW w:w="1020" w:type="dxa"/>
          </w:tcPr>
          <w:p w:rsidR="00880768" w:rsidRDefault="00880768" w:rsidP="00D84971">
            <w:pPr>
              <w:jc w:val="right"/>
            </w:pPr>
          </w:p>
        </w:tc>
        <w:tc>
          <w:tcPr>
            <w:tcW w:w="1020" w:type="dxa"/>
          </w:tcPr>
          <w:p w:rsidR="00880768" w:rsidRDefault="00880768" w:rsidP="00D84971">
            <w:pPr>
              <w:jc w:val="right"/>
            </w:pPr>
          </w:p>
        </w:tc>
        <w:tc>
          <w:tcPr>
            <w:tcW w:w="1020" w:type="dxa"/>
          </w:tcPr>
          <w:p w:rsidR="00880768" w:rsidRDefault="00880768" w:rsidP="00D84971">
            <w:pPr>
              <w:jc w:val="right"/>
            </w:pPr>
          </w:p>
        </w:tc>
        <w:tc>
          <w:tcPr>
            <w:tcW w:w="1020" w:type="dxa"/>
          </w:tcPr>
          <w:p w:rsidR="00880768" w:rsidRDefault="00880768" w:rsidP="00D84971">
            <w:pPr>
              <w:jc w:val="right"/>
            </w:pPr>
          </w:p>
        </w:tc>
      </w:tr>
      <w:tr w:rsidR="00880768" w:rsidTr="00D84971">
        <w:trPr>
          <w:trHeight w:val="380"/>
        </w:trPr>
        <w:tc>
          <w:tcPr>
            <w:tcW w:w="1020" w:type="dxa"/>
          </w:tcPr>
          <w:p w:rsidR="00880768" w:rsidRDefault="00880768" w:rsidP="00D84971">
            <w:r>
              <w:t>1830</w:t>
            </w:r>
          </w:p>
        </w:tc>
        <w:tc>
          <w:tcPr>
            <w:tcW w:w="4080" w:type="dxa"/>
          </w:tcPr>
          <w:p w:rsidR="00880768" w:rsidRDefault="00880768" w:rsidP="00D84971">
            <w:r>
              <w:t>Forskning og næringsutvikling</w:t>
            </w:r>
          </w:p>
        </w:tc>
        <w:tc>
          <w:tcPr>
            <w:tcW w:w="1020" w:type="dxa"/>
          </w:tcPr>
          <w:p w:rsidR="00880768" w:rsidRDefault="00880768" w:rsidP="00D84971">
            <w:pPr>
              <w:jc w:val="right"/>
            </w:pPr>
            <w:r>
              <w:t>944 374</w:t>
            </w:r>
          </w:p>
        </w:tc>
        <w:tc>
          <w:tcPr>
            <w:tcW w:w="1020" w:type="dxa"/>
          </w:tcPr>
          <w:p w:rsidR="00880768" w:rsidRDefault="00880768" w:rsidP="00D84971">
            <w:pPr>
              <w:jc w:val="right"/>
            </w:pPr>
            <w:r>
              <w:t>815 213</w:t>
            </w:r>
          </w:p>
        </w:tc>
        <w:tc>
          <w:tcPr>
            <w:tcW w:w="1020" w:type="dxa"/>
          </w:tcPr>
          <w:p w:rsidR="00880768" w:rsidRDefault="00880768" w:rsidP="00D84971">
            <w:pPr>
              <w:jc w:val="right"/>
            </w:pPr>
            <w:r>
              <w:t>845 500</w:t>
            </w:r>
          </w:p>
        </w:tc>
        <w:tc>
          <w:tcPr>
            <w:tcW w:w="1020" w:type="dxa"/>
          </w:tcPr>
          <w:p w:rsidR="00880768" w:rsidRDefault="00880768" w:rsidP="00D84971">
            <w:pPr>
              <w:jc w:val="right"/>
            </w:pPr>
            <w:r>
              <w:t>3,7</w:t>
            </w:r>
          </w:p>
        </w:tc>
      </w:tr>
      <w:tr w:rsidR="00880768" w:rsidTr="00D84971">
        <w:trPr>
          <w:trHeight w:val="380"/>
        </w:trPr>
        <w:tc>
          <w:tcPr>
            <w:tcW w:w="1020" w:type="dxa"/>
          </w:tcPr>
          <w:p w:rsidR="00880768" w:rsidRDefault="00880768" w:rsidP="00D84971"/>
        </w:tc>
        <w:tc>
          <w:tcPr>
            <w:tcW w:w="4080" w:type="dxa"/>
          </w:tcPr>
          <w:p w:rsidR="00880768" w:rsidRDefault="00880768" w:rsidP="00D84971">
            <w:r>
              <w:rPr>
                <w:rStyle w:val="kursiv"/>
                <w:sz w:val="21"/>
                <w:szCs w:val="21"/>
              </w:rPr>
              <w:t>Sum kategori 18.30</w:t>
            </w:r>
          </w:p>
        </w:tc>
        <w:tc>
          <w:tcPr>
            <w:tcW w:w="1020" w:type="dxa"/>
          </w:tcPr>
          <w:p w:rsidR="00880768" w:rsidRDefault="00880768" w:rsidP="00D84971">
            <w:pPr>
              <w:jc w:val="right"/>
            </w:pPr>
            <w:r>
              <w:rPr>
                <w:rStyle w:val="kursiv"/>
                <w:sz w:val="21"/>
                <w:szCs w:val="21"/>
              </w:rPr>
              <w:t>944 374</w:t>
            </w:r>
          </w:p>
        </w:tc>
        <w:tc>
          <w:tcPr>
            <w:tcW w:w="1020" w:type="dxa"/>
          </w:tcPr>
          <w:p w:rsidR="00880768" w:rsidRDefault="00880768" w:rsidP="00D84971">
            <w:pPr>
              <w:jc w:val="right"/>
            </w:pPr>
            <w:r>
              <w:rPr>
                <w:rStyle w:val="kursiv"/>
                <w:sz w:val="21"/>
                <w:szCs w:val="21"/>
              </w:rPr>
              <w:t>815 213</w:t>
            </w:r>
          </w:p>
        </w:tc>
        <w:tc>
          <w:tcPr>
            <w:tcW w:w="1020" w:type="dxa"/>
          </w:tcPr>
          <w:p w:rsidR="00880768" w:rsidRDefault="00880768" w:rsidP="00D84971">
            <w:pPr>
              <w:jc w:val="right"/>
            </w:pPr>
            <w:r>
              <w:rPr>
                <w:rStyle w:val="kursiv"/>
                <w:sz w:val="21"/>
                <w:szCs w:val="21"/>
              </w:rPr>
              <w:t>845 500</w:t>
            </w:r>
          </w:p>
        </w:tc>
        <w:tc>
          <w:tcPr>
            <w:tcW w:w="1020" w:type="dxa"/>
          </w:tcPr>
          <w:p w:rsidR="00880768" w:rsidRDefault="00880768" w:rsidP="00D84971">
            <w:pPr>
              <w:jc w:val="right"/>
            </w:pPr>
            <w:r>
              <w:rPr>
                <w:rStyle w:val="kursiv"/>
                <w:sz w:val="21"/>
                <w:szCs w:val="21"/>
              </w:rPr>
              <w:t>3,7</w:t>
            </w:r>
          </w:p>
        </w:tc>
      </w:tr>
      <w:tr w:rsidR="00880768" w:rsidTr="00D84971">
        <w:trPr>
          <w:trHeight w:val="380"/>
        </w:trPr>
        <w:tc>
          <w:tcPr>
            <w:tcW w:w="1020" w:type="dxa"/>
          </w:tcPr>
          <w:p w:rsidR="00880768" w:rsidRDefault="00880768" w:rsidP="00D84971"/>
        </w:tc>
        <w:tc>
          <w:tcPr>
            <w:tcW w:w="4080" w:type="dxa"/>
          </w:tcPr>
          <w:p w:rsidR="00880768" w:rsidRDefault="00880768" w:rsidP="00D84971">
            <w:r>
              <w:rPr>
                <w:rStyle w:val="halvfet0"/>
                <w:sz w:val="21"/>
                <w:szCs w:val="21"/>
              </w:rPr>
              <w:t>CO</w:t>
            </w:r>
            <w:r>
              <w:rPr>
                <w:rStyle w:val="skrift-senket"/>
                <w:b/>
                <w:bCs/>
                <w:sz w:val="21"/>
                <w:szCs w:val="21"/>
              </w:rPr>
              <w:t>2</w:t>
            </w:r>
            <w:r>
              <w:rPr>
                <w:rStyle w:val="halvfet0"/>
                <w:sz w:val="21"/>
                <w:szCs w:val="21"/>
              </w:rPr>
              <w:t>-håndtering</w:t>
            </w:r>
          </w:p>
        </w:tc>
        <w:tc>
          <w:tcPr>
            <w:tcW w:w="1020" w:type="dxa"/>
          </w:tcPr>
          <w:p w:rsidR="00880768" w:rsidRDefault="00880768" w:rsidP="00D84971">
            <w:pPr>
              <w:jc w:val="right"/>
            </w:pPr>
          </w:p>
        </w:tc>
        <w:tc>
          <w:tcPr>
            <w:tcW w:w="1020" w:type="dxa"/>
          </w:tcPr>
          <w:p w:rsidR="00880768" w:rsidRDefault="00880768" w:rsidP="00D84971">
            <w:pPr>
              <w:jc w:val="right"/>
            </w:pPr>
          </w:p>
        </w:tc>
        <w:tc>
          <w:tcPr>
            <w:tcW w:w="1020" w:type="dxa"/>
          </w:tcPr>
          <w:p w:rsidR="00880768" w:rsidRDefault="00880768" w:rsidP="00D84971">
            <w:pPr>
              <w:jc w:val="right"/>
            </w:pPr>
          </w:p>
        </w:tc>
        <w:tc>
          <w:tcPr>
            <w:tcW w:w="1020" w:type="dxa"/>
          </w:tcPr>
          <w:p w:rsidR="00880768" w:rsidRDefault="00880768" w:rsidP="00D84971">
            <w:pPr>
              <w:jc w:val="right"/>
            </w:pPr>
          </w:p>
        </w:tc>
      </w:tr>
      <w:tr w:rsidR="00880768" w:rsidTr="00D84971">
        <w:trPr>
          <w:trHeight w:val="380"/>
        </w:trPr>
        <w:tc>
          <w:tcPr>
            <w:tcW w:w="1020" w:type="dxa"/>
          </w:tcPr>
          <w:p w:rsidR="00880768" w:rsidRDefault="00880768" w:rsidP="00D84971">
            <w:r>
              <w:t>1840</w:t>
            </w:r>
          </w:p>
        </w:tc>
        <w:tc>
          <w:tcPr>
            <w:tcW w:w="4080" w:type="dxa"/>
          </w:tcPr>
          <w:p w:rsidR="00880768" w:rsidRDefault="00880768" w:rsidP="00D84971">
            <w:r>
              <w:t>CO</w:t>
            </w:r>
            <w:r>
              <w:rPr>
                <w:rStyle w:val="skrift-senket"/>
                <w:sz w:val="21"/>
                <w:szCs w:val="21"/>
              </w:rPr>
              <w:t>2</w:t>
            </w:r>
            <w:r>
              <w:t>-håndtering</w:t>
            </w:r>
          </w:p>
        </w:tc>
        <w:tc>
          <w:tcPr>
            <w:tcW w:w="1020" w:type="dxa"/>
          </w:tcPr>
          <w:p w:rsidR="00880768" w:rsidRDefault="00880768" w:rsidP="00D84971">
            <w:pPr>
              <w:jc w:val="right"/>
            </w:pPr>
            <w:r>
              <w:t>1 024 017</w:t>
            </w:r>
          </w:p>
        </w:tc>
        <w:tc>
          <w:tcPr>
            <w:tcW w:w="1020" w:type="dxa"/>
          </w:tcPr>
          <w:p w:rsidR="00880768" w:rsidRDefault="00880768" w:rsidP="00D84971">
            <w:pPr>
              <w:jc w:val="right"/>
            </w:pPr>
            <w:r>
              <w:t>507 719</w:t>
            </w:r>
          </w:p>
        </w:tc>
        <w:tc>
          <w:tcPr>
            <w:tcW w:w="1020" w:type="dxa"/>
          </w:tcPr>
          <w:p w:rsidR="00880768" w:rsidRDefault="00880768" w:rsidP="00D84971">
            <w:pPr>
              <w:jc w:val="right"/>
            </w:pPr>
            <w:r>
              <w:t>669 500</w:t>
            </w:r>
          </w:p>
        </w:tc>
        <w:tc>
          <w:tcPr>
            <w:tcW w:w="1020" w:type="dxa"/>
          </w:tcPr>
          <w:p w:rsidR="00880768" w:rsidRDefault="00880768" w:rsidP="00D84971">
            <w:pPr>
              <w:jc w:val="right"/>
            </w:pPr>
            <w:r>
              <w:t>31,9</w:t>
            </w:r>
          </w:p>
        </w:tc>
      </w:tr>
      <w:tr w:rsidR="00880768" w:rsidTr="00D84971">
        <w:trPr>
          <w:trHeight w:val="380"/>
        </w:trPr>
        <w:tc>
          <w:tcPr>
            <w:tcW w:w="1020" w:type="dxa"/>
          </w:tcPr>
          <w:p w:rsidR="00880768" w:rsidRDefault="00880768" w:rsidP="00D84971"/>
        </w:tc>
        <w:tc>
          <w:tcPr>
            <w:tcW w:w="4080" w:type="dxa"/>
          </w:tcPr>
          <w:p w:rsidR="00880768" w:rsidRDefault="00880768" w:rsidP="00D84971">
            <w:r>
              <w:rPr>
                <w:rStyle w:val="kursiv"/>
                <w:sz w:val="21"/>
                <w:szCs w:val="21"/>
              </w:rPr>
              <w:t>Sum kategori 18.40</w:t>
            </w:r>
          </w:p>
        </w:tc>
        <w:tc>
          <w:tcPr>
            <w:tcW w:w="1020" w:type="dxa"/>
          </w:tcPr>
          <w:p w:rsidR="00880768" w:rsidRDefault="00880768" w:rsidP="00D84971">
            <w:pPr>
              <w:jc w:val="right"/>
            </w:pPr>
            <w:r>
              <w:rPr>
                <w:rStyle w:val="kursiv"/>
                <w:sz w:val="21"/>
                <w:szCs w:val="21"/>
              </w:rPr>
              <w:t>1 024 017</w:t>
            </w:r>
          </w:p>
        </w:tc>
        <w:tc>
          <w:tcPr>
            <w:tcW w:w="1020" w:type="dxa"/>
          </w:tcPr>
          <w:p w:rsidR="00880768" w:rsidRDefault="00880768" w:rsidP="00D84971">
            <w:pPr>
              <w:jc w:val="right"/>
            </w:pPr>
            <w:r>
              <w:rPr>
                <w:rStyle w:val="kursiv"/>
                <w:sz w:val="21"/>
                <w:szCs w:val="21"/>
              </w:rPr>
              <w:t>507 719</w:t>
            </w:r>
          </w:p>
        </w:tc>
        <w:tc>
          <w:tcPr>
            <w:tcW w:w="1020" w:type="dxa"/>
          </w:tcPr>
          <w:p w:rsidR="00880768" w:rsidRDefault="00880768" w:rsidP="00D84971">
            <w:pPr>
              <w:jc w:val="right"/>
            </w:pPr>
            <w:r>
              <w:rPr>
                <w:rStyle w:val="kursiv"/>
                <w:sz w:val="21"/>
                <w:szCs w:val="21"/>
              </w:rPr>
              <w:t>669 500</w:t>
            </w:r>
          </w:p>
        </w:tc>
        <w:tc>
          <w:tcPr>
            <w:tcW w:w="1020" w:type="dxa"/>
          </w:tcPr>
          <w:p w:rsidR="00880768" w:rsidRDefault="00880768" w:rsidP="00D84971">
            <w:pPr>
              <w:jc w:val="right"/>
            </w:pPr>
            <w:r>
              <w:rPr>
                <w:rStyle w:val="kursiv"/>
                <w:sz w:val="21"/>
                <w:szCs w:val="21"/>
              </w:rPr>
              <w:t>31,9</w:t>
            </w:r>
          </w:p>
        </w:tc>
      </w:tr>
      <w:tr w:rsidR="00880768" w:rsidTr="00D84971">
        <w:trPr>
          <w:trHeight w:val="380"/>
        </w:trPr>
        <w:tc>
          <w:tcPr>
            <w:tcW w:w="1020" w:type="dxa"/>
          </w:tcPr>
          <w:p w:rsidR="00880768" w:rsidRDefault="00880768" w:rsidP="00D84971"/>
        </w:tc>
        <w:tc>
          <w:tcPr>
            <w:tcW w:w="4080" w:type="dxa"/>
          </w:tcPr>
          <w:p w:rsidR="00880768" w:rsidRDefault="00880768" w:rsidP="00D84971">
            <w:r>
              <w:rPr>
                <w:rStyle w:val="kursiv"/>
                <w:sz w:val="21"/>
                <w:szCs w:val="21"/>
              </w:rPr>
              <w:t>Sum utgifter</w:t>
            </w:r>
          </w:p>
        </w:tc>
        <w:tc>
          <w:tcPr>
            <w:tcW w:w="1020" w:type="dxa"/>
          </w:tcPr>
          <w:p w:rsidR="00880768" w:rsidRDefault="00880768" w:rsidP="00D84971">
            <w:pPr>
              <w:jc w:val="right"/>
            </w:pPr>
            <w:r>
              <w:rPr>
                <w:rStyle w:val="kursiv"/>
                <w:sz w:val="21"/>
                <w:szCs w:val="21"/>
              </w:rPr>
              <w:t>40 863 480</w:t>
            </w:r>
          </w:p>
        </w:tc>
        <w:tc>
          <w:tcPr>
            <w:tcW w:w="1020" w:type="dxa"/>
          </w:tcPr>
          <w:p w:rsidR="00880768" w:rsidRDefault="00880768" w:rsidP="00D84971">
            <w:pPr>
              <w:jc w:val="right"/>
            </w:pPr>
            <w:r>
              <w:rPr>
                <w:rStyle w:val="kursiv"/>
                <w:sz w:val="21"/>
                <w:szCs w:val="21"/>
              </w:rPr>
              <w:t>33 092 429</w:t>
            </w:r>
          </w:p>
        </w:tc>
        <w:tc>
          <w:tcPr>
            <w:tcW w:w="1020" w:type="dxa"/>
          </w:tcPr>
          <w:p w:rsidR="00880768" w:rsidRDefault="00880768" w:rsidP="00D84971">
            <w:pPr>
              <w:jc w:val="right"/>
            </w:pPr>
            <w:r>
              <w:rPr>
                <w:rStyle w:val="kursiv"/>
                <w:sz w:val="21"/>
                <w:szCs w:val="21"/>
              </w:rPr>
              <w:t>30 723 146</w:t>
            </w:r>
          </w:p>
        </w:tc>
        <w:tc>
          <w:tcPr>
            <w:tcW w:w="1020" w:type="dxa"/>
          </w:tcPr>
          <w:p w:rsidR="00880768" w:rsidRDefault="00880768" w:rsidP="00D84971">
            <w:pPr>
              <w:jc w:val="right"/>
            </w:pPr>
            <w:r>
              <w:rPr>
                <w:rStyle w:val="kursiv"/>
                <w:sz w:val="21"/>
                <w:szCs w:val="21"/>
              </w:rPr>
              <w:t>-7,2</w:t>
            </w:r>
          </w:p>
        </w:tc>
      </w:tr>
    </w:tbl>
    <w:p w:rsidR="00880768" w:rsidRDefault="00880768" w:rsidP="00880768">
      <w:pPr>
        <w:pStyle w:val="Undertittel"/>
      </w:pPr>
      <w:r>
        <w:t>Inntekter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880768" w:rsidTr="0034191D">
        <w:trPr>
          <w:trHeight w:val="640"/>
        </w:trPr>
        <w:tc>
          <w:tcPr>
            <w:tcW w:w="1020" w:type="dxa"/>
            <w:shd w:val="clear" w:color="auto" w:fill="FFFFFF"/>
          </w:tcPr>
          <w:p w:rsidR="00880768" w:rsidRDefault="00880768" w:rsidP="0034191D">
            <w:pPr>
              <w:pStyle w:val="Tabellnavn"/>
            </w:pPr>
            <w:r>
              <w:t>U</w:t>
            </w:r>
            <w:r>
              <w:t>I</w:t>
            </w:r>
            <w:r>
              <w:t>POKL</w:t>
            </w:r>
          </w:p>
        </w:tc>
        <w:tc>
          <w:tcPr>
            <w:tcW w:w="4080" w:type="dxa"/>
          </w:tcPr>
          <w:p w:rsidR="00880768" w:rsidRDefault="00880768" w:rsidP="0034191D">
            <w:pPr>
              <w:pStyle w:val="Tabellnavn"/>
            </w:pPr>
          </w:p>
        </w:tc>
        <w:tc>
          <w:tcPr>
            <w:tcW w:w="1020" w:type="dxa"/>
          </w:tcPr>
          <w:p w:rsidR="00880768" w:rsidRDefault="00880768" w:rsidP="0034191D">
            <w:pPr>
              <w:pStyle w:val="Tabellnavn"/>
              <w:jc w:val="right"/>
            </w:pPr>
          </w:p>
        </w:tc>
        <w:tc>
          <w:tcPr>
            <w:tcW w:w="1020" w:type="dxa"/>
          </w:tcPr>
          <w:p w:rsidR="00880768" w:rsidRDefault="00880768" w:rsidP="0034191D">
            <w:pPr>
              <w:pStyle w:val="Tabellnavn"/>
              <w:jc w:val="right"/>
            </w:pPr>
          </w:p>
        </w:tc>
        <w:tc>
          <w:tcPr>
            <w:tcW w:w="1020" w:type="dxa"/>
          </w:tcPr>
          <w:p w:rsidR="00880768" w:rsidRDefault="00880768" w:rsidP="0034191D">
            <w:pPr>
              <w:pStyle w:val="Tabellnavn"/>
              <w:jc w:val="right"/>
            </w:pPr>
          </w:p>
        </w:tc>
        <w:tc>
          <w:tcPr>
            <w:tcW w:w="1020" w:type="dxa"/>
          </w:tcPr>
          <w:p w:rsidR="00880768" w:rsidRDefault="00880768" w:rsidP="0034191D">
            <w:pPr>
              <w:jc w:val="right"/>
            </w:pPr>
            <w:r>
              <w:t>(i 1 000 kr)</w:t>
            </w:r>
          </w:p>
        </w:tc>
      </w:tr>
      <w:tr w:rsidR="00880768" w:rsidTr="0034191D">
        <w:trPr>
          <w:trHeight w:val="600"/>
        </w:trPr>
        <w:tc>
          <w:tcPr>
            <w:tcW w:w="1020" w:type="dxa"/>
          </w:tcPr>
          <w:p w:rsidR="00880768" w:rsidRDefault="00880768" w:rsidP="0034191D">
            <w:r>
              <w:t>Kap.</w:t>
            </w:r>
          </w:p>
        </w:tc>
        <w:tc>
          <w:tcPr>
            <w:tcW w:w="4080" w:type="dxa"/>
          </w:tcPr>
          <w:p w:rsidR="00880768" w:rsidRDefault="00880768" w:rsidP="0034191D">
            <w:r>
              <w:t>Betegnelse</w:t>
            </w:r>
          </w:p>
        </w:tc>
        <w:tc>
          <w:tcPr>
            <w:tcW w:w="1020" w:type="dxa"/>
          </w:tcPr>
          <w:p w:rsidR="00880768" w:rsidRDefault="00880768" w:rsidP="0034191D">
            <w:pPr>
              <w:jc w:val="right"/>
            </w:pPr>
            <w:r>
              <w:t>Reg</w:t>
            </w:r>
            <w:r>
              <w:t>n</w:t>
            </w:r>
            <w:r>
              <w:t>skap 2017</w:t>
            </w:r>
          </w:p>
        </w:tc>
        <w:tc>
          <w:tcPr>
            <w:tcW w:w="1020" w:type="dxa"/>
          </w:tcPr>
          <w:p w:rsidR="00880768" w:rsidRDefault="00880768" w:rsidP="0034191D">
            <w:pPr>
              <w:jc w:val="right"/>
            </w:pPr>
            <w:r>
              <w:t xml:space="preserve">Saldert </w:t>
            </w:r>
            <w:r>
              <w:rPr>
                <w:sz w:val="22"/>
              </w:rPr>
              <w:br/>
            </w:r>
            <w:r>
              <w:t>budsjett 2018</w:t>
            </w:r>
          </w:p>
        </w:tc>
        <w:tc>
          <w:tcPr>
            <w:tcW w:w="1020" w:type="dxa"/>
          </w:tcPr>
          <w:p w:rsidR="00880768" w:rsidRDefault="00880768" w:rsidP="0034191D">
            <w:pPr>
              <w:jc w:val="right"/>
            </w:pPr>
            <w:r>
              <w:t xml:space="preserve">Forslag </w:t>
            </w:r>
            <w:r>
              <w:rPr>
                <w:sz w:val="22"/>
              </w:rPr>
              <w:br/>
            </w:r>
            <w:r>
              <w:t>2019</w:t>
            </w:r>
          </w:p>
        </w:tc>
        <w:tc>
          <w:tcPr>
            <w:tcW w:w="1020" w:type="dxa"/>
          </w:tcPr>
          <w:p w:rsidR="00880768" w:rsidRDefault="00880768" w:rsidP="0034191D">
            <w:pPr>
              <w:jc w:val="right"/>
            </w:pPr>
            <w:r>
              <w:t xml:space="preserve">Pst. endr. </w:t>
            </w:r>
            <w:r>
              <w:rPr>
                <w:sz w:val="22"/>
              </w:rPr>
              <w:br/>
            </w:r>
            <w:r>
              <w:t>18/19</w:t>
            </w:r>
          </w:p>
        </w:tc>
      </w:tr>
      <w:tr w:rsidR="00880768" w:rsidTr="0034191D">
        <w:trPr>
          <w:trHeight w:val="380"/>
        </w:trPr>
        <w:tc>
          <w:tcPr>
            <w:tcW w:w="1020" w:type="dxa"/>
          </w:tcPr>
          <w:p w:rsidR="00880768" w:rsidRDefault="00880768" w:rsidP="0034191D"/>
        </w:tc>
        <w:tc>
          <w:tcPr>
            <w:tcW w:w="4080" w:type="dxa"/>
          </w:tcPr>
          <w:p w:rsidR="00880768" w:rsidRDefault="00880768" w:rsidP="0034191D">
            <w:r>
              <w:rPr>
                <w:rStyle w:val="halvfet0"/>
                <w:sz w:val="21"/>
                <w:szCs w:val="21"/>
              </w:rPr>
              <w:t>Administrasjon</w:t>
            </w:r>
          </w:p>
        </w:tc>
        <w:tc>
          <w:tcPr>
            <w:tcW w:w="1020" w:type="dxa"/>
          </w:tcPr>
          <w:p w:rsidR="00880768" w:rsidRDefault="00880768" w:rsidP="0034191D">
            <w:pPr>
              <w:jc w:val="right"/>
            </w:pPr>
          </w:p>
        </w:tc>
        <w:tc>
          <w:tcPr>
            <w:tcW w:w="1020" w:type="dxa"/>
          </w:tcPr>
          <w:p w:rsidR="00880768" w:rsidRDefault="00880768" w:rsidP="0034191D">
            <w:pPr>
              <w:jc w:val="right"/>
            </w:pPr>
          </w:p>
        </w:tc>
        <w:tc>
          <w:tcPr>
            <w:tcW w:w="1020" w:type="dxa"/>
          </w:tcPr>
          <w:p w:rsidR="00880768" w:rsidRDefault="00880768" w:rsidP="0034191D">
            <w:pPr>
              <w:jc w:val="right"/>
            </w:pPr>
          </w:p>
        </w:tc>
        <w:tc>
          <w:tcPr>
            <w:tcW w:w="1020" w:type="dxa"/>
          </w:tcPr>
          <w:p w:rsidR="00880768" w:rsidRDefault="00880768" w:rsidP="0034191D">
            <w:pPr>
              <w:jc w:val="right"/>
            </w:pPr>
          </w:p>
        </w:tc>
      </w:tr>
      <w:tr w:rsidR="00880768" w:rsidTr="0034191D">
        <w:trPr>
          <w:trHeight w:val="380"/>
        </w:trPr>
        <w:tc>
          <w:tcPr>
            <w:tcW w:w="1020" w:type="dxa"/>
          </w:tcPr>
          <w:p w:rsidR="00880768" w:rsidRDefault="00880768" w:rsidP="0034191D">
            <w:r>
              <w:t>4800</w:t>
            </w:r>
          </w:p>
        </w:tc>
        <w:tc>
          <w:tcPr>
            <w:tcW w:w="4080" w:type="dxa"/>
          </w:tcPr>
          <w:p w:rsidR="00880768" w:rsidRDefault="00880768" w:rsidP="0034191D">
            <w:r>
              <w:t>Olje- og energidepartementet</w:t>
            </w:r>
          </w:p>
        </w:tc>
        <w:tc>
          <w:tcPr>
            <w:tcW w:w="1020" w:type="dxa"/>
          </w:tcPr>
          <w:p w:rsidR="00880768" w:rsidRDefault="00880768" w:rsidP="0034191D">
            <w:pPr>
              <w:jc w:val="right"/>
            </w:pPr>
            <w:r>
              <w:t>2 802</w:t>
            </w:r>
          </w:p>
        </w:tc>
        <w:tc>
          <w:tcPr>
            <w:tcW w:w="1020" w:type="dxa"/>
          </w:tcPr>
          <w:p w:rsidR="00880768" w:rsidRDefault="00880768" w:rsidP="0034191D">
            <w:pPr>
              <w:jc w:val="right"/>
            </w:pPr>
            <w:r>
              <w:t>2 152</w:t>
            </w:r>
          </w:p>
        </w:tc>
        <w:tc>
          <w:tcPr>
            <w:tcW w:w="1020" w:type="dxa"/>
          </w:tcPr>
          <w:p w:rsidR="00880768" w:rsidRDefault="00880768" w:rsidP="0034191D">
            <w:pPr>
              <w:jc w:val="right"/>
            </w:pPr>
            <w:r>
              <w:t>2 083</w:t>
            </w:r>
          </w:p>
        </w:tc>
        <w:tc>
          <w:tcPr>
            <w:tcW w:w="1020" w:type="dxa"/>
          </w:tcPr>
          <w:p w:rsidR="00880768" w:rsidRDefault="00880768" w:rsidP="0034191D">
            <w:pPr>
              <w:jc w:val="right"/>
            </w:pPr>
            <w:r>
              <w:t>-3,2</w:t>
            </w:r>
          </w:p>
        </w:tc>
      </w:tr>
      <w:tr w:rsidR="00880768" w:rsidTr="0034191D">
        <w:trPr>
          <w:trHeight w:val="380"/>
        </w:trPr>
        <w:tc>
          <w:tcPr>
            <w:tcW w:w="1020" w:type="dxa"/>
          </w:tcPr>
          <w:p w:rsidR="00880768" w:rsidRDefault="00880768" w:rsidP="0034191D"/>
        </w:tc>
        <w:tc>
          <w:tcPr>
            <w:tcW w:w="4080" w:type="dxa"/>
          </w:tcPr>
          <w:p w:rsidR="00880768" w:rsidRDefault="00880768" w:rsidP="0034191D">
            <w:r>
              <w:rPr>
                <w:rStyle w:val="kursiv"/>
                <w:sz w:val="21"/>
                <w:szCs w:val="21"/>
              </w:rPr>
              <w:t>Sum kategori 18.00</w:t>
            </w:r>
          </w:p>
        </w:tc>
        <w:tc>
          <w:tcPr>
            <w:tcW w:w="1020" w:type="dxa"/>
          </w:tcPr>
          <w:p w:rsidR="00880768" w:rsidRDefault="00880768" w:rsidP="0034191D">
            <w:pPr>
              <w:jc w:val="right"/>
            </w:pPr>
            <w:r>
              <w:rPr>
                <w:rStyle w:val="kursiv"/>
                <w:sz w:val="21"/>
                <w:szCs w:val="21"/>
              </w:rPr>
              <w:t>2 802</w:t>
            </w:r>
          </w:p>
        </w:tc>
        <w:tc>
          <w:tcPr>
            <w:tcW w:w="1020" w:type="dxa"/>
          </w:tcPr>
          <w:p w:rsidR="00880768" w:rsidRDefault="00880768" w:rsidP="0034191D">
            <w:pPr>
              <w:jc w:val="right"/>
            </w:pPr>
            <w:r>
              <w:rPr>
                <w:rStyle w:val="kursiv"/>
                <w:sz w:val="21"/>
                <w:szCs w:val="21"/>
              </w:rPr>
              <w:t>2 152</w:t>
            </w:r>
          </w:p>
        </w:tc>
        <w:tc>
          <w:tcPr>
            <w:tcW w:w="1020" w:type="dxa"/>
          </w:tcPr>
          <w:p w:rsidR="00880768" w:rsidRDefault="00880768" w:rsidP="0034191D">
            <w:pPr>
              <w:jc w:val="right"/>
            </w:pPr>
            <w:r>
              <w:rPr>
                <w:rStyle w:val="kursiv"/>
                <w:sz w:val="21"/>
                <w:szCs w:val="21"/>
              </w:rPr>
              <w:t>2 083</w:t>
            </w:r>
          </w:p>
        </w:tc>
        <w:tc>
          <w:tcPr>
            <w:tcW w:w="1020" w:type="dxa"/>
          </w:tcPr>
          <w:p w:rsidR="00880768" w:rsidRDefault="00880768" w:rsidP="0034191D">
            <w:pPr>
              <w:jc w:val="right"/>
            </w:pPr>
            <w:r>
              <w:rPr>
                <w:rStyle w:val="kursiv"/>
                <w:sz w:val="21"/>
                <w:szCs w:val="21"/>
              </w:rPr>
              <w:t>-3,2</w:t>
            </w:r>
          </w:p>
        </w:tc>
      </w:tr>
      <w:tr w:rsidR="00880768" w:rsidTr="0034191D">
        <w:trPr>
          <w:trHeight w:val="380"/>
        </w:trPr>
        <w:tc>
          <w:tcPr>
            <w:tcW w:w="1020" w:type="dxa"/>
          </w:tcPr>
          <w:p w:rsidR="00880768" w:rsidRDefault="00880768" w:rsidP="0034191D"/>
        </w:tc>
        <w:tc>
          <w:tcPr>
            <w:tcW w:w="4080" w:type="dxa"/>
          </w:tcPr>
          <w:p w:rsidR="00880768" w:rsidRDefault="00880768" w:rsidP="0034191D">
            <w:r>
              <w:rPr>
                <w:rStyle w:val="halvfet0"/>
                <w:sz w:val="21"/>
                <w:szCs w:val="21"/>
              </w:rPr>
              <w:t>Petroleum</w:t>
            </w:r>
          </w:p>
        </w:tc>
        <w:tc>
          <w:tcPr>
            <w:tcW w:w="1020" w:type="dxa"/>
          </w:tcPr>
          <w:p w:rsidR="00880768" w:rsidRDefault="00880768" w:rsidP="0034191D">
            <w:pPr>
              <w:jc w:val="right"/>
            </w:pPr>
          </w:p>
        </w:tc>
        <w:tc>
          <w:tcPr>
            <w:tcW w:w="1020" w:type="dxa"/>
          </w:tcPr>
          <w:p w:rsidR="00880768" w:rsidRDefault="00880768" w:rsidP="0034191D">
            <w:pPr>
              <w:jc w:val="right"/>
            </w:pPr>
          </w:p>
        </w:tc>
        <w:tc>
          <w:tcPr>
            <w:tcW w:w="1020" w:type="dxa"/>
          </w:tcPr>
          <w:p w:rsidR="00880768" w:rsidRDefault="00880768" w:rsidP="0034191D">
            <w:pPr>
              <w:jc w:val="right"/>
            </w:pPr>
          </w:p>
        </w:tc>
        <w:tc>
          <w:tcPr>
            <w:tcW w:w="1020" w:type="dxa"/>
          </w:tcPr>
          <w:p w:rsidR="00880768" w:rsidRDefault="00880768" w:rsidP="0034191D">
            <w:pPr>
              <w:jc w:val="right"/>
            </w:pPr>
          </w:p>
        </w:tc>
      </w:tr>
      <w:tr w:rsidR="00880768" w:rsidTr="0034191D">
        <w:trPr>
          <w:trHeight w:val="380"/>
        </w:trPr>
        <w:tc>
          <w:tcPr>
            <w:tcW w:w="1020" w:type="dxa"/>
          </w:tcPr>
          <w:p w:rsidR="00880768" w:rsidRDefault="00880768" w:rsidP="0034191D">
            <w:r>
              <w:t>4810</w:t>
            </w:r>
          </w:p>
        </w:tc>
        <w:tc>
          <w:tcPr>
            <w:tcW w:w="4080" w:type="dxa"/>
          </w:tcPr>
          <w:p w:rsidR="00880768" w:rsidRDefault="00880768" w:rsidP="0034191D">
            <w:r>
              <w:t>Oljedirektoratet</w:t>
            </w:r>
          </w:p>
        </w:tc>
        <w:tc>
          <w:tcPr>
            <w:tcW w:w="1020" w:type="dxa"/>
          </w:tcPr>
          <w:p w:rsidR="00880768" w:rsidRDefault="00880768" w:rsidP="0034191D">
            <w:pPr>
              <w:jc w:val="right"/>
            </w:pPr>
            <w:r>
              <w:t>142 445</w:t>
            </w:r>
          </w:p>
        </w:tc>
        <w:tc>
          <w:tcPr>
            <w:tcW w:w="1020" w:type="dxa"/>
          </w:tcPr>
          <w:p w:rsidR="00880768" w:rsidRDefault="00880768" w:rsidP="0034191D">
            <w:pPr>
              <w:jc w:val="right"/>
            </w:pPr>
            <w:r>
              <w:t>142 378</w:t>
            </w:r>
          </w:p>
        </w:tc>
        <w:tc>
          <w:tcPr>
            <w:tcW w:w="1020" w:type="dxa"/>
          </w:tcPr>
          <w:p w:rsidR="00880768" w:rsidRDefault="00880768" w:rsidP="0034191D">
            <w:pPr>
              <w:jc w:val="right"/>
            </w:pPr>
            <w:r>
              <w:t>145 500</w:t>
            </w:r>
          </w:p>
        </w:tc>
        <w:tc>
          <w:tcPr>
            <w:tcW w:w="1020" w:type="dxa"/>
          </w:tcPr>
          <w:p w:rsidR="00880768" w:rsidRDefault="00880768" w:rsidP="0034191D">
            <w:pPr>
              <w:jc w:val="right"/>
            </w:pPr>
            <w:r>
              <w:t>2,2</w:t>
            </w:r>
          </w:p>
        </w:tc>
      </w:tr>
      <w:tr w:rsidR="00880768" w:rsidTr="0034191D">
        <w:trPr>
          <w:trHeight w:val="380"/>
        </w:trPr>
        <w:tc>
          <w:tcPr>
            <w:tcW w:w="1020" w:type="dxa"/>
          </w:tcPr>
          <w:p w:rsidR="00880768" w:rsidRDefault="00880768" w:rsidP="0034191D">
            <w:r>
              <w:t>4811</w:t>
            </w:r>
          </w:p>
        </w:tc>
        <w:tc>
          <w:tcPr>
            <w:tcW w:w="4080" w:type="dxa"/>
          </w:tcPr>
          <w:p w:rsidR="00880768" w:rsidRDefault="00880768" w:rsidP="0034191D">
            <w:r>
              <w:t>Equinor ASA</w:t>
            </w:r>
          </w:p>
        </w:tc>
        <w:tc>
          <w:tcPr>
            <w:tcW w:w="1020" w:type="dxa"/>
          </w:tcPr>
          <w:p w:rsidR="00880768" w:rsidRDefault="00880768" w:rsidP="0034191D">
            <w:pPr>
              <w:jc w:val="right"/>
            </w:pPr>
            <w:r>
              <w:t>7 538 949</w:t>
            </w:r>
          </w:p>
        </w:tc>
        <w:tc>
          <w:tcPr>
            <w:tcW w:w="1020" w:type="dxa"/>
          </w:tcPr>
          <w:p w:rsidR="00880768" w:rsidRDefault="00880768" w:rsidP="0034191D">
            <w:pPr>
              <w:jc w:val="right"/>
            </w:pPr>
            <w:r>
              <w:t>1 900 000</w:t>
            </w:r>
          </w:p>
        </w:tc>
        <w:tc>
          <w:tcPr>
            <w:tcW w:w="1020" w:type="dxa"/>
          </w:tcPr>
          <w:p w:rsidR="00880768" w:rsidRDefault="00880768" w:rsidP="0034191D">
            <w:pPr>
              <w:jc w:val="right"/>
            </w:pPr>
          </w:p>
        </w:tc>
        <w:tc>
          <w:tcPr>
            <w:tcW w:w="1020" w:type="dxa"/>
          </w:tcPr>
          <w:p w:rsidR="00880768" w:rsidRDefault="00880768" w:rsidP="0034191D">
            <w:pPr>
              <w:jc w:val="right"/>
            </w:pPr>
            <w:r>
              <w:t>-100,0</w:t>
            </w:r>
          </w:p>
        </w:tc>
      </w:tr>
      <w:tr w:rsidR="00880768" w:rsidTr="0034191D">
        <w:trPr>
          <w:trHeight w:val="640"/>
        </w:trPr>
        <w:tc>
          <w:tcPr>
            <w:tcW w:w="1020" w:type="dxa"/>
          </w:tcPr>
          <w:p w:rsidR="00880768" w:rsidRDefault="00880768" w:rsidP="0034191D">
            <w:r>
              <w:t>5440</w:t>
            </w:r>
          </w:p>
        </w:tc>
        <w:tc>
          <w:tcPr>
            <w:tcW w:w="4080" w:type="dxa"/>
          </w:tcPr>
          <w:p w:rsidR="00880768" w:rsidRDefault="00880768" w:rsidP="0034191D">
            <w:r>
              <w:t>Statens direkte økonomiske engasj</w:t>
            </w:r>
            <w:r>
              <w:t>e</w:t>
            </w:r>
            <w:r>
              <w:t>ment i petroleumsvirksomheten</w:t>
            </w:r>
          </w:p>
        </w:tc>
        <w:tc>
          <w:tcPr>
            <w:tcW w:w="1020" w:type="dxa"/>
          </w:tcPr>
          <w:p w:rsidR="00880768" w:rsidRDefault="00880768" w:rsidP="0034191D">
            <w:pPr>
              <w:jc w:val="right"/>
            </w:pPr>
            <w:r>
              <w:t>114 836 089</w:t>
            </w:r>
          </w:p>
        </w:tc>
        <w:tc>
          <w:tcPr>
            <w:tcW w:w="1020" w:type="dxa"/>
          </w:tcPr>
          <w:p w:rsidR="00880768" w:rsidRDefault="00880768" w:rsidP="0034191D">
            <w:pPr>
              <w:jc w:val="right"/>
            </w:pPr>
            <w:r>
              <w:t>102 400 000</w:t>
            </w:r>
          </w:p>
        </w:tc>
        <w:tc>
          <w:tcPr>
            <w:tcW w:w="1020" w:type="dxa"/>
          </w:tcPr>
          <w:p w:rsidR="00880768" w:rsidRDefault="00880768" w:rsidP="0034191D">
            <w:pPr>
              <w:jc w:val="right"/>
            </w:pPr>
            <w:r>
              <w:t>132 900 000</w:t>
            </w:r>
          </w:p>
        </w:tc>
        <w:tc>
          <w:tcPr>
            <w:tcW w:w="1020" w:type="dxa"/>
          </w:tcPr>
          <w:p w:rsidR="00880768" w:rsidRDefault="00880768" w:rsidP="0034191D">
            <w:pPr>
              <w:jc w:val="right"/>
            </w:pPr>
            <w:r>
              <w:t>29,8</w:t>
            </w:r>
          </w:p>
        </w:tc>
      </w:tr>
      <w:tr w:rsidR="00880768" w:rsidTr="0034191D">
        <w:trPr>
          <w:trHeight w:val="380"/>
        </w:trPr>
        <w:tc>
          <w:tcPr>
            <w:tcW w:w="1020" w:type="dxa"/>
          </w:tcPr>
          <w:p w:rsidR="00880768" w:rsidRDefault="00880768" w:rsidP="0034191D">
            <w:r>
              <w:t>5685</w:t>
            </w:r>
          </w:p>
        </w:tc>
        <w:tc>
          <w:tcPr>
            <w:tcW w:w="4080" w:type="dxa"/>
          </w:tcPr>
          <w:p w:rsidR="00880768" w:rsidRDefault="00880768" w:rsidP="0034191D">
            <w:r>
              <w:t>Aksjer i Equinor ASA</w:t>
            </w:r>
          </w:p>
        </w:tc>
        <w:tc>
          <w:tcPr>
            <w:tcW w:w="1020" w:type="dxa"/>
          </w:tcPr>
          <w:p w:rsidR="00880768" w:rsidRDefault="00880768" w:rsidP="0034191D">
            <w:pPr>
              <w:jc w:val="right"/>
            </w:pPr>
            <w:r>
              <w:t>8 397 820</w:t>
            </w:r>
          </w:p>
        </w:tc>
        <w:tc>
          <w:tcPr>
            <w:tcW w:w="1020" w:type="dxa"/>
          </w:tcPr>
          <w:p w:rsidR="00880768" w:rsidRDefault="00880768" w:rsidP="0034191D">
            <w:pPr>
              <w:jc w:val="right"/>
            </w:pPr>
            <w:r>
              <w:t>14 544 000</w:t>
            </w:r>
          </w:p>
        </w:tc>
        <w:tc>
          <w:tcPr>
            <w:tcW w:w="1020" w:type="dxa"/>
          </w:tcPr>
          <w:p w:rsidR="00880768" w:rsidRDefault="00880768" w:rsidP="0034191D">
            <w:pPr>
              <w:jc w:val="right"/>
            </w:pPr>
            <w:r>
              <w:t>16 620 000</w:t>
            </w:r>
          </w:p>
        </w:tc>
        <w:tc>
          <w:tcPr>
            <w:tcW w:w="1020" w:type="dxa"/>
          </w:tcPr>
          <w:p w:rsidR="00880768" w:rsidRDefault="00880768" w:rsidP="0034191D">
            <w:pPr>
              <w:jc w:val="right"/>
            </w:pPr>
            <w:r>
              <w:t>14,3</w:t>
            </w:r>
          </w:p>
        </w:tc>
      </w:tr>
      <w:tr w:rsidR="00880768" w:rsidTr="0034191D">
        <w:trPr>
          <w:trHeight w:val="380"/>
        </w:trPr>
        <w:tc>
          <w:tcPr>
            <w:tcW w:w="1020" w:type="dxa"/>
          </w:tcPr>
          <w:p w:rsidR="00880768" w:rsidRDefault="00880768" w:rsidP="0034191D"/>
        </w:tc>
        <w:tc>
          <w:tcPr>
            <w:tcW w:w="4080" w:type="dxa"/>
          </w:tcPr>
          <w:p w:rsidR="00880768" w:rsidRDefault="00880768" w:rsidP="0034191D">
            <w:r>
              <w:rPr>
                <w:rStyle w:val="kursiv"/>
                <w:sz w:val="21"/>
                <w:szCs w:val="21"/>
              </w:rPr>
              <w:t>Sum kategori 18.10</w:t>
            </w:r>
          </w:p>
        </w:tc>
        <w:tc>
          <w:tcPr>
            <w:tcW w:w="1020" w:type="dxa"/>
          </w:tcPr>
          <w:p w:rsidR="00880768" w:rsidRDefault="00880768" w:rsidP="0034191D">
            <w:pPr>
              <w:jc w:val="right"/>
            </w:pPr>
            <w:r>
              <w:rPr>
                <w:rStyle w:val="kursiv"/>
                <w:sz w:val="21"/>
                <w:szCs w:val="21"/>
              </w:rPr>
              <w:t>130 915 303</w:t>
            </w:r>
          </w:p>
        </w:tc>
        <w:tc>
          <w:tcPr>
            <w:tcW w:w="1020" w:type="dxa"/>
          </w:tcPr>
          <w:p w:rsidR="00880768" w:rsidRDefault="00880768" w:rsidP="0034191D">
            <w:pPr>
              <w:jc w:val="right"/>
            </w:pPr>
            <w:r>
              <w:rPr>
                <w:rStyle w:val="kursiv"/>
                <w:sz w:val="21"/>
                <w:szCs w:val="21"/>
              </w:rPr>
              <w:t>118 986 378</w:t>
            </w:r>
          </w:p>
        </w:tc>
        <w:tc>
          <w:tcPr>
            <w:tcW w:w="1020" w:type="dxa"/>
          </w:tcPr>
          <w:p w:rsidR="00880768" w:rsidRDefault="00880768" w:rsidP="0034191D">
            <w:pPr>
              <w:jc w:val="right"/>
            </w:pPr>
            <w:r>
              <w:rPr>
                <w:rStyle w:val="kursiv"/>
                <w:sz w:val="21"/>
                <w:szCs w:val="21"/>
              </w:rPr>
              <w:t>149 665 500</w:t>
            </w:r>
          </w:p>
        </w:tc>
        <w:tc>
          <w:tcPr>
            <w:tcW w:w="1020" w:type="dxa"/>
          </w:tcPr>
          <w:p w:rsidR="00880768" w:rsidRDefault="00880768" w:rsidP="0034191D">
            <w:pPr>
              <w:jc w:val="right"/>
            </w:pPr>
            <w:r>
              <w:rPr>
                <w:rStyle w:val="kursiv"/>
                <w:sz w:val="21"/>
                <w:szCs w:val="21"/>
              </w:rPr>
              <w:t>25,8</w:t>
            </w:r>
          </w:p>
        </w:tc>
      </w:tr>
      <w:tr w:rsidR="00880768" w:rsidTr="0034191D">
        <w:trPr>
          <w:trHeight w:val="380"/>
        </w:trPr>
        <w:tc>
          <w:tcPr>
            <w:tcW w:w="1020" w:type="dxa"/>
          </w:tcPr>
          <w:p w:rsidR="00880768" w:rsidRDefault="00880768" w:rsidP="0034191D"/>
        </w:tc>
        <w:tc>
          <w:tcPr>
            <w:tcW w:w="4080" w:type="dxa"/>
          </w:tcPr>
          <w:p w:rsidR="00880768" w:rsidRDefault="00880768" w:rsidP="0034191D">
            <w:r>
              <w:rPr>
                <w:rStyle w:val="halvfet0"/>
                <w:sz w:val="21"/>
                <w:szCs w:val="21"/>
              </w:rPr>
              <w:t>Energi og vannressurser</w:t>
            </w:r>
          </w:p>
        </w:tc>
        <w:tc>
          <w:tcPr>
            <w:tcW w:w="1020" w:type="dxa"/>
          </w:tcPr>
          <w:p w:rsidR="00880768" w:rsidRDefault="00880768" w:rsidP="0034191D">
            <w:pPr>
              <w:jc w:val="right"/>
            </w:pPr>
          </w:p>
        </w:tc>
        <w:tc>
          <w:tcPr>
            <w:tcW w:w="1020" w:type="dxa"/>
          </w:tcPr>
          <w:p w:rsidR="00880768" w:rsidRDefault="00880768" w:rsidP="0034191D">
            <w:pPr>
              <w:jc w:val="right"/>
            </w:pPr>
          </w:p>
        </w:tc>
        <w:tc>
          <w:tcPr>
            <w:tcW w:w="1020" w:type="dxa"/>
          </w:tcPr>
          <w:p w:rsidR="00880768" w:rsidRDefault="00880768" w:rsidP="0034191D">
            <w:pPr>
              <w:jc w:val="right"/>
            </w:pPr>
          </w:p>
        </w:tc>
        <w:tc>
          <w:tcPr>
            <w:tcW w:w="1020" w:type="dxa"/>
          </w:tcPr>
          <w:p w:rsidR="00880768" w:rsidRDefault="00880768" w:rsidP="0034191D">
            <w:pPr>
              <w:jc w:val="right"/>
            </w:pPr>
          </w:p>
        </w:tc>
      </w:tr>
      <w:tr w:rsidR="00880768" w:rsidTr="0034191D">
        <w:trPr>
          <w:trHeight w:val="640"/>
        </w:trPr>
        <w:tc>
          <w:tcPr>
            <w:tcW w:w="1020" w:type="dxa"/>
          </w:tcPr>
          <w:p w:rsidR="00880768" w:rsidRDefault="00880768" w:rsidP="0034191D">
            <w:r>
              <w:t>4820</w:t>
            </w:r>
          </w:p>
        </w:tc>
        <w:tc>
          <w:tcPr>
            <w:tcW w:w="4080" w:type="dxa"/>
          </w:tcPr>
          <w:p w:rsidR="00880768" w:rsidRDefault="00880768" w:rsidP="0034191D">
            <w:r>
              <w:t>Norges vassdrags- og energidirektorat</w:t>
            </w:r>
          </w:p>
        </w:tc>
        <w:tc>
          <w:tcPr>
            <w:tcW w:w="1020" w:type="dxa"/>
          </w:tcPr>
          <w:p w:rsidR="00880768" w:rsidRDefault="00880768" w:rsidP="0034191D">
            <w:pPr>
              <w:jc w:val="right"/>
            </w:pPr>
            <w:r>
              <w:t>191 349</w:t>
            </w:r>
          </w:p>
        </w:tc>
        <w:tc>
          <w:tcPr>
            <w:tcW w:w="1020" w:type="dxa"/>
          </w:tcPr>
          <w:p w:rsidR="00880768" w:rsidRDefault="00880768" w:rsidP="0034191D">
            <w:pPr>
              <w:jc w:val="right"/>
            </w:pPr>
            <w:r>
              <w:t>182 174</w:t>
            </w:r>
          </w:p>
        </w:tc>
        <w:tc>
          <w:tcPr>
            <w:tcW w:w="1020" w:type="dxa"/>
          </w:tcPr>
          <w:p w:rsidR="00880768" w:rsidRDefault="00880768" w:rsidP="0034191D">
            <w:pPr>
              <w:jc w:val="right"/>
            </w:pPr>
            <w:r>
              <w:t>194 000</w:t>
            </w:r>
          </w:p>
        </w:tc>
        <w:tc>
          <w:tcPr>
            <w:tcW w:w="1020" w:type="dxa"/>
          </w:tcPr>
          <w:p w:rsidR="00880768" w:rsidRDefault="00880768" w:rsidP="0034191D">
            <w:pPr>
              <w:jc w:val="right"/>
            </w:pPr>
            <w:r>
              <w:t>6,5</w:t>
            </w:r>
          </w:p>
        </w:tc>
      </w:tr>
      <w:tr w:rsidR="00880768" w:rsidTr="0034191D">
        <w:trPr>
          <w:trHeight w:val="640"/>
        </w:trPr>
        <w:tc>
          <w:tcPr>
            <w:tcW w:w="1020" w:type="dxa"/>
          </w:tcPr>
          <w:p w:rsidR="00880768" w:rsidRDefault="00880768" w:rsidP="0034191D">
            <w:r>
              <w:t>4825</w:t>
            </w:r>
          </w:p>
        </w:tc>
        <w:tc>
          <w:tcPr>
            <w:tcW w:w="4080" w:type="dxa"/>
          </w:tcPr>
          <w:p w:rsidR="00880768" w:rsidRDefault="00880768" w:rsidP="0034191D">
            <w:r>
              <w:t>Energiomlegging, energi- og klimate</w:t>
            </w:r>
            <w:r>
              <w:t>k</w:t>
            </w:r>
            <w:r>
              <w:t>nologi</w:t>
            </w:r>
          </w:p>
        </w:tc>
        <w:tc>
          <w:tcPr>
            <w:tcW w:w="1020" w:type="dxa"/>
          </w:tcPr>
          <w:p w:rsidR="00880768" w:rsidRDefault="00880768" w:rsidP="0034191D">
            <w:pPr>
              <w:jc w:val="right"/>
            </w:pPr>
            <w:r>
              <w:t>1 865 651</w:t>
            </w:r>
          </w:p>
        </w:tc>
        <w:tc>
          <w:tcPr>
            <w:tcW w:w="1020" w:type="dxa"/>
          </w:tcPr>
          <w:p w:rsidR="00880768" w:rsidRDefault="00880768" w:rsidP="0034191D">
            <w:pPr>
              <w:jc w:val="right"/>
            </w:pPr>
            <w:r>
              <w:t>67 750 000</w:t>
            </w:r>
          </w:p>
        </w:tc>
        <w:tc>
          <w:tcPr>
            <w:tcW w:w="1020" w:type="dxa"/>
          </w:tcPr>
          <w:p w:rsidR="00880768" w:rsidRDefault="00880768" w:rsidP="0034191D">
            <w:pPr>
              <w:jc w:val="right"/>
            </w:pPr>
          </w:p>
        </w:tc>
        <w:tc>
          <w:tcPr>
            <w:tcW w:w="1020" w:type="dxa"/>
          </w:tcPr>
          <w:p w:rsidR="00880768" w:rsidRDefault="00880768" w:rsidP="0034191D">
            <w:pPr>
              <w:jc w:val="right"/>
            </w:pPr>
            <w:r>
              <w:t>-100,0</w:t>
            </w:r>
          </w:p>
        </w:tc>
      </w:tr>
      <w:tr w:rsidR="00880768" w:rsidTr="0034191D">
        <w:trPr>
          <w:trHeight w:val="380"/>
        </w:trPr>
        <w:tc>
          <w:tcPr>
            <w:tcW w:w="1020" w:type="dxa"/>
          </w:tcPr>
          <w:p w:rsidR="00880768" w:rsidRDefault="00880768" w:rsidP="0034191D">
            <w:r>
              <w:t>5490</w:t>
            </w:r>
          </w:p>
        </w:tc>
        <w:tc>
          <w:tcPr>
            <w:tcW w:w="4080" w:type="dxa"/>
          </w:tcPr>
          <w:p w:rsidR="00880768" w:rsidRDefault="00880768" w:rsidP="0034191D">
            <w:r>
              <w:t>NVE Anlegg</w:t>
            </w:r>
          </w:p>
        </w:tc>
        <w:tc>
          <w:tcPr>
            <w:tcW w:w="1020" w:type="dxa"/>
          </w:tcPr>
          <w:p w:rsidR="00880768" w:rsidRDefault="00880768" w:rsidP="0034191D">
            <w:pPr>
              <w:jc w:val="right"/>
            </w:pPr>
            <w:r>
              <w:t>220</w:t>
            </w:r>
          </w:p>
        </w:tc>
        <w:tc>
          <w:tcPr>
            <w:tcW w:w="1020" w:type="dxa"/>
          </w:tcPr>
          <w:p w:rsidR="00880768" w:rsidRDefault="00880768" w:rsidP="0034191D">
            <w:pPr>
              <w:jc w:val="right"/>
            </w:pPr>
            <w:r>
              <w:t>200</w:t>
            </w:r>
          </w:p>
        </w:tc>
        <w:tc>
          <w:tcPr>
            <w:tcW w:w="1020" w:type="dxa"/>
          </w:tcPr>
          <w:p w:rsidR="00880768" w:rsidRDefault="00880768" w:rsidP="0034191D">
            <w:pPr>
              <w:jc w:val="right"/>
            </w:pPr>
            <w:r>
              <w:t>100</w:t>
            </w:r>
          </w:p>
        </w:tc>
        <w:tc>
          <w:tcPr>
            <w:tcW w:w="1020" w:type="dxa"/>
          </w:tcPr>
          <w:p w:rsidR="00880768" w:rsidRDefault="00880768" w:rsidP="0034191D">
            <w:pPr>
              <w:jc w:val="right"/>
            </w:pPr>
            <w:r>
              <w:t>-50,0</w:t>
            </w:r>
          </w:p>
        </w:tc>
      </w:tr>
      <w:tr w:rsidR="00880768" w:rsidTr="0034191D">
        <w:trPr>
          <w:trHeight w:val="640"/>
        </w:trPr>
        <w:tc>
          <w:tcPr>
            <w:tcW w:w="1020" w:type="dxa"/>
          </w:tcPr>
          <w:p w:rsidR="00880768" w:rsidRDefault="00880768" w:rsidP="0034191D">
            <w:r>
              <w:t>5582</w:t>
            </w:r>
          </w:p>
        </w:tc>
        <w:tc>
          <w:tcPr>
            <w:tcW w:w="4080" w:type="dxa"/>
          </w:tcPr>
          <w:p w:rsidR="00880768" w:rsidRDefault="00880768" w:rsidP="0034191D">
            <w:r>
              <w:t xml:space="preserve">Sektoravgifter under </w:t>
            </w:r>
            <w:r>
              <w:rPr>
                <w:sz w:val="22"/>
              </w:rPr>
              <w:br/>
            </w:r>
            <w:r>
              <w:t>Olje- og energidepartementet</w:t>
            </w:r>
          </w:p>
        </w:tc>
        <w:tc>
          <w:tcPr>
            <w:tcW w:w="1020" w:type="dxa"/>
          </w:tcPr>
          <w:p w:rsidR="00880768" w:rsidRDefault="00880768" w:rsidP="0034191D">
            <w:pPr>
              <w:jc w:val="right"/>
            </w:pPr>
            <w:r>
              <w:t>847 119</w:t>
            </w:r>
          </w:p>
        </w:tc>
        <w:tc>
          <w:tcPr>
            <w:tcW w:w="1020" w:type="dxa"/>
          </w:tcPr>
          <w:p w:rsidR="00880768" w:rsidRDefault="00880768" w:rsidP="0034191D">
            <w:pPr>
              <w:jc w:val="right"/>
            </w:pPr>
            <w:r>
              <w:t>834 700</w:t>
            </w:r>
          </w:p>
        </w:tc>
        <w:tc>
          <w:tcPr>
            <w:tcW w:w="1020" w:type="dxa"/>
          </w:tcPr>
          <w:p w:rsidR="00880768" w:rsidRDefault="00880768" w:rsidP="0034191D">
            <w:pPr>
              <w:jc w:val="right"/>
            </w:pPr>
            <w:r>
              <w:t>166 000</w:t>
            </w:r>
          </w:p>
        </w:tc>
        <w:tc>
          <w:tcPr>
            <w:tcW w:w="1020" w:type="dxa"/>
          </w:tcPr>
          <w:p w:rsidR="00880768" w:rsidRDefault="00880768" w:rsidP="0034191D">
            <w:pPr>
              <w:jc w:val="right"/>
            </w:pPr>
            <w:r>
              <w:t>-80,1</w:t>
            </w:r>
          </w:p>
        </w:tc>
      </w:tr>
      <w:tr w:rsidR="00880768" w:rsidTr="0034191D">
        <w:trPr>
          <w:trHeight w:val="380"/>
        </w:trPr>
        <w:tc>
          <w:tcPr>
            <w:tcW w:w="1020" w:type="dxa"/>
          </w:tcPr>
          <w:p w:rsidR="00880768" w:rsidRDefault="00880768" w:rsidP="0034191D">
            <w:r>
              <w:t>5680</w:t>
            </w:r>
          </w:p>
        </w:tc>
        <w:tc>
          <w:tcPr>
            <w:tcW w:w="4080" w:type="dxa"/>
          </w:tcPr>
          <w:p w:rsidR="00880768" w:rsidRDefault="00880768" w:rsidP="0034191D">
            <w:r>
              <w:t>Statnett SF</w:t>
            </w:r>
          </w:p>
        </w:tc>
        <w:tc>
          <w:tcPr>
            <w:tcW w:w="1020" w:type="dxa"/>
          </w:tcPr>
          <w:p w:rsidR="00880768" w:rsidRDefault="00880768" w:rsidP="0034191D">
            <w:pPr>
              <w:jc w:val="right"/>
            </w:pPr>
            <w:r>
              <w:t>350 000</w:t>
            </w:r>
          </w:p>
        </w:tc>
        <w:tc>
          <w:tcPr>
            <w:tcW w:w="1020" w:type="dxa"/>
          </w:tcPr>
          <w:p w:rsidR="00880768" w:rsidRDefault="00880768" w:rsidP="0034191D">
            <w:pPr>
              <w:jc w:val="right"/>
            </w:pPr>
            <w:r>
              <w:t>336 000</w:t>
            </w:r>
          </w:p>
        </w:tc>
        <w:tc>
          <w:tcPr>
            <w:tcW w:w="1020" w:type="dxa"/>
          </w:tcPr>
          <w:p w:rsidR="00880768" w:rsidRDefault="00880768" w:rsidP="0034191D">
            <w:pPr>
              <w:jc w:val="right"/>
            </w:pPr>
            <w:r>
              <w:t>443 000</w:t>
            </w:r>
          </w:p>
        </w:tc>
        <w:tc>
          <w:tcPr>
            <w:tcW w:w="1020" w:type="dxa"/>
          </w:tcPr>
          <w:p w:rsidR="00880768" w:rsidRDefault="00880768" w:rsidP="0034191D">
            <w:pPr>
              <w:jc w:val="right"/>
            </w:pPr>
            <w:r>
              <w:t>31,8</w:t>
            </w:r>
          </w:p>
        </w:tc>
      </w:tr>
      <w:tr w:rsidR="00880768" w:rsidTr="0034191D">
        <w:trPr>
          <w:trHeight w:val="380"/>
        </w:trPr>
        <w:tc>
          <w:tcPr>
            <w:tcW w:w="1020" w:type="dxa"/>
          </w:tcPr>
          <w:p w:rsidR="00880768" w:rsidRDefault="00880768" w:rsidP="0034191D"/>
        </w:tc>
        <w:tc>
          <w:tcPr>
            <w:tcW w:w="4080" w:type="dxa"/>
          </w:tcPr>
          <w:p w:rsidR="00880768" w:rsidRDefault="00880768" w:rsidP="0034191D">
            <w:r>
              <w:rPr>
                <w:rStyle w:val="kursiv"/>
                <w:sz w:val="21"/>
                <w:szCs w:val="21"/>
              </w:rPr>
              <w:t>Sum kategori 18.20</w:t>
            </w:r>
          </w:p>
        </w:tc>
        <w:tc>
          <w:tcPr>
            <w:tcW w:w="1020" w:type="dxa"/>
          </w:tcPr>
          <w:p w:rsidR="00880768" w:rsidRDefault="00880768" w:rsidP="0034191D">
            <w:pPr>
              <w:jc w:val="right"/>
            </w:pPr>
            <w:r>
              <w:rPr>
                <w:rStyle w:val="kursiv"/>
                <w:sz w:val="21"/>
                <w:szCs w:val="21"/>
              </w:rPr>
              <w:t>3 254 339</w:t>
            </w:r>
          </w:p>
        </w:tc>
        <w:tc>
          <w:tcPr>
            <w:tcW w:w="1020" w:type="dxa"/>
          </w:tcPr>
          <w:p w:rsidR="00880768" w:rsidRDefault="00880768" w:rsidP="0034191D">
            <w:pPr>
              <w:jc w:val="right"/>
            </w:pPr>
            <w:r>
              <w:rPr>
                <w:rStyle w:val="kursiv"/>
                <w:sz w:val="21"/>
                <w:szCs w:val="21"/>
              </w:rPr>
              <w:t>69 103 074</w:t>
            </w:r>
          </w:p>
        </w:tc>
        <w:tc>
          <w:tcPr>
            <w:tcW w:w="1020" w:type="dxa"/>
          </w:tcPr>
          <w:p w:rsidR="00880768" w:rsidRDefault="00880768" w:rsidP="0034191D">
            <w:pPr>
              <w:jc w:val="right"/>
            </w:pPr>
            <w:r>
              <w:rPr>
                <w:rStyle w:val="kursiv"/>
                <w:sz w:val="21"/>
                <w:szCs w:val="21"/>
              </w:rPr>
              <w:t>803 100</w:t>
            </w:r>
          </w:p>
        </w:tc>
        <w:tc>
          <w:tcPr>
            <w:tcW w:w="1020" w:type="dxa"/>
          </w:tcPr>
          <w:p w:rsidR="00880768" w:rsidRDefault="00880768" w:rsidP="0034191D">
            <w:pPr>
              <w:jc w:val="right"/>
            </w:pPr>
            <w:r>
              <w:rPr>
                <w:rStyle w:val="kursiv"/>
                <w:sz w:val="21"/>
                <w:szCs w:val="21"/>
              </w:rPr>
              <w:t>-98,8</w:t>
            </w:r>
          </w:p>
        </w:tc>
      </w:tr>
      <w:tr w:rsidR="00880768" w:rsidTr="0034191D">
        <w:trPr>
          <w:trHeight w:val="380"/>
        </w:trPr>
        <w:tc>
          <w:tcPr>
            <w:tcW w:w="1020" w:type="dxa"/>
          </w:tcPr>
          <w:p w:rsidR="00880768" w:rsidRDefault="00880768" w:rsidP="0034191D"/>
        </w:tc>
        <w:tc>
          <w:tcPr>
            <w:tcW w:w="4080" w:type="dxa"/>
          </w:tcPr>
          <w:p w:rsidR="00880768" w:rsidRDefault="00880768" w:rsidP="0034191D">
            <w:r>
              <w:rPr>
                <w:rStyle w:val="halvfet0"/>
                <w:sz w:val="21"/>
                <w:szCs w:val="21"/>
              </w:rPr>
              <w:t>CO</w:t>
            </w:r>
            <w:r>
              <w:rPr>
                <w:rStyle w:val="skrift-senket"/>
                <w:b/>
                <w:bCs/>
                <w:sz w:val="21"/>
                <w:szCs w:val="21"/>
              </w:rPr>
              <w:t>2</w:t>
            </w:r>
            <w:r>
              <w:rPr>
                <w:rStyle w:val="halvfet0"/>
                <w:sz w:val="21"/>
                <w:szCs w:val="21"/>
              </w:rPr>
              <w:t>-håndtering</w:t>
            </w:r>
          </w:p>
        </w:tc>
        <w:tc>
          <w:tcPr>
            <w:tcW w:w="1020" w:type="dxa"/>
          </w:tcPr>
          <w:p w:rsidR="00880768" w:rsidRDefault="00880768" w:rsidP="0034191D">
            <w:pPr>
              <w:jc w:val="right"/>
            </w:pPr>
          </w:p>
        </w:tc>
        <w:tc>
          <w:tcPr>
            <w:tcW w:w="1020" w:type="dxa"/>
          </w:tcPr>
          <w:p w:rsidR="00880768" w:rsidRDefault="00880768" w:rsidP="0034191D">
            <w:pPr>
              <w:jc w:val="right"/>
            </w:pPr>
          </w:p>
        </w:tc>
        <w:tc>
          <w:tcPr>
            <w:tcW w:w="1020" w:type="dxa"/>
          </w:tcPr>
          <w:p w:rsidR="00880768" w:rsidRDefault="00880768" w:rsidP="0034191D">
            <w:pPr>
              <w:jc w:val="right"/>
            </w:pPr>
          </w:p>
        </w:tc>
        <w:tc>
          <w:tcPr>
            <w:tcW w:w="1020" w:type="dxa"/>
          </w:tcPr>
          <w:p w:rsidR="00880768" w:rsidRDefault="00880768" w:rsidP="0034191D">
            <w:pPr>
              <w:jc w:val="right"/>
            </w:pPr>
          </w:p>
        </w:tc>
      </w:tr>
      <w:tr w:rsidR="00880768" w:rsidTr="0034191D">
        <w:trPr>
          <w:trHeight w:val="380"/>
        </w:trPr>
        <w:tc>
          <w:tcPr>
            <w:tcW w:w="1020" w:type="dxa"/>
          </w:tcPr>
          <w:p w:rsidR="00880768" w:rsidRDefault="00880768" w:rsidP="0034191D">
            <w:r>
              <w:lastRenderedPageBreak/>
              <w:t>4840</w:t>
            </w:r>
          </w:p>
        </w:tc>
        <w:tc>
          <w:tcPr>
            <w:tcW w:w="4080" w:type="dxa"/>
          </w:tcPr>
          <w:p w:rsidR="00880768" w:rsidRDefault="00880768" w:rsidP="0034191D">
            <w:r>
              <w:t>CO</w:t>
            </w:r>
            <w:r>
              <w:rPr>
                <w:rStyle w:val="skrift-senket"/>
                <w:sz w:val="21"/>
                <w:szCs w:val="21"/>
              </w:rPr>
              <w:t>2</w:t>
            </w:r>
            <w:r>
              <w:t>-håndtering</w:t>
            </w:r>
          </w:p>
        </w:tc>
        <w:tc>
          <w:tcPr>
            <w:tcW w:w="1020" w:type="dxa"/>
          </w:tcPr>
          <w:p w:rsidR="00880768" w:rsidRDefault="00880768" w:rsidP="0034191D">
            <w:pPr>
              <w:jc w:val="right"/>
            </w:pPr>
            <w:r>
              <w:t>304 165</w:t>
            </w:r>
          </w:p>
        </w:tc>
        <w:tc>
          <w:tcPr>
            <w:tcW w:w="1020" w:type="dxa"/>
          </w:tcPr>
          <w:p w:rsidR="00880768" w:rsidRDefault="00880768" w:rsidP="0034191D">
            <w:pPr>
              <w:jc w:val="right"/>
            </w:pPr>
          </w:p>
        </w:tc>
        <w:tc>
          <w:tcPr>
            <w:tcW w:w="1020" w:type="dxa"/>
          </w:tcPr>
          <w:p w:rsidR="00880768" w:rsidRDefault="00880768" w:rsidP="0034191D">
            <w:pPr>
              <w:jc w:val="right"/>
            </w:pPr>
          </w:p>
        </w:tc>
        <w:tc>
          <w:tcPr>
            <w:tcW w:w="1020" w:type="dxa"/>
          </w:tcPr>
          <w:p w:rsidR="00880768" w:rsidRDefault="00880768" w:rsidP="0034191D">
            <w:pPr>
              <w:jc w:val="right"/>
            </w:pPr>
          </w:p>
        </w:tc>
      </w:tr>
      <w:tr w:rsidR="00880768" w:rsidTr="0034191D">
        <w:trPr>
          <w:trHeight w:val="380"/>
        </w:trPr>
        <w:tc>
          <w:tcPr>
            <w:tcW w:w="1020" w:type="dxa"/>
          </w:tcPr>
          <w:p w:rsidR="00880768" w:rsidRDefault="00880768" w:rsidP="0034191D"/>
        </w:tc>
        <w:tc>
          <w:tcPr>
            <w:tcW w:w="4080" w:type="dxa"/>
          </w:tcPr>
          <w:p w:rsidR="00880768" w:rsidRDefault="00880768" w:rsidP="0034191D">
            <w:r>
              <w:rPr>
                <w:rStyle w:val="kursiv"/>
                <w:sz w:val="21"/>
                <w:szCs w:val="21"/>
              </w:rPr>
              <w:t>Sum kategori 18.40</w:t>
            </w:r>
          </w:p>
        </w:tc>
        <w:tc>
          <w:tcPr>
            <w:tcW w:w="1020" w:type="dxa"/>
          </w:tcPr>
          <w:p w:rsidR="00880768" w:rsidRDefault="00880768" w:rsidP="0034191D">
            <w:pPr>
              <w:jc w:val="right"/>
            </w:pPr>
            <w:r>
              <w:rPr>
                <w:rStyle w:val="kursiv"/>
                <w:sz w:val="21"/>
                <w:szCs w:val="21"/>
              </w:rPr>
              <w:t>304 165</w:t>
            </w:r>
          </w:p>
        </w:tc>
        <w:tc>
          <w:tcPr>
            <w:tcW w:w="1020" w:type="dxa"/>
          </w:tcPr>
          <w:p w:rsidR="00880768" w:rsidRDefault="00880768" w:rsidP="0034191D">
            <w:pPr>
              <w:jc w:val="right"/>
            </w:pPr>
          </w:p>
        </w:tc>
        <w:tc>
          <w:tcPr>
            <w:tcW w:w="1020" w:type="dxa"/>
          </w:tcPr>
          <w:p w:rsidR="00880768" w:rsidRDefault="00880768" w:rsidP="0034191D">
            <w:pPr>
              <w:jc w:val="right"/>
            </w:pPr>
          </w:p>
        </w:tc>
        <w:tc>
          <w:tcPr>
            <w:tcW w:w="1020" w:type="dxa"/>
          </w:tcPr>
          <w:p w:rsidR="00880768" w:rsidRDefault="00880768" w:rsidP="0034191D">
            <w:pPr>
              <w:jc w:val="right"/>
            </w:pPr>
          </w:p>
        </w:tc>
      </w:tr>
      <w:tr w:rsidR="00880768" w:rsidTr="0034191D">
        <w:trPr>
          <w:trHeight w:val="380"/>
        </w:trPr>
        <w:tc>
          <w:tcPr>
            <w:tcW w:w="1020" w:type="dxa"/>
          </w:tcPr>
          <w:p w:rsidR="00880768" w:rsidRDefault="00880768" w:rsidP="0034191D"/>
        </w:tc>
        <w:tc>
          <w:tcPr>
            <w:tcW w:w="4080" w:type="dxa"/>
          </w:tcPr>
          <w:p w:rsidR="00880768" w:rsidRDefault="00880768" w:rsidP="0034191D">
            <w:r>
              <w:rPr>
                <w:rStyle w:val="kursiv"/>
                <w:sz w:val="21"/>
                <w:szCs w:val="21"/>
              </w:rPr>
              <w:t>Sum inntekter</w:t>
            </w:r>
          </w:p>
        </w:tc>
        <w:tc>
          <w:tcPr>
            <w:tcW w:w="1020" w:type="dxa"/>
          </w:tcPr>
          <w:p w:rsidR="00880768" w:rsidRDefault="00880768" w:rsidP="0034191D">
            <w:pPr>
              <w:jc w:val="right"/>
            </w:pPr>
            <w:r>
              <w:rPr>
                <w:rStyle w:val="kursiv"/>
                <w:sz w:val="21"/>
                <w:szCs w:val="21"/>
              </w:rPr>
              <w:t>134 476 609</w:t>
            </w:r>
          </w:p>
        </w:tc>
        <w:tc>
          <w:tcPr>
            <w:tcW w:w="1020" w:type="dxa"/>
          </w:tcPr>
          <w:p w:rsidR="00880768" w:rsidRDefault="00880768" w:rsidP="0034191D">
            <w:pPr>
              <w:jc w:val="right"/>
            </w:pPr>
            <w:r>
              <w:rPr>
                <w:rStyle w:val="kursiv"/>
                <w:sz w:val="21"/>
                <w:szCs w:val="21"/>
              </w:rPr>
              <w:t>188 091 604</w:t>
            </w:r>
          </w:p>
        </w:tc>
        <w:tc>
          <w:tcPr>
            <w:tcW w:w="1020" w:type="dxa"/>
          </w:tcPr>
          <w:p w:rsidR="00880768" w:rsidRDefault="00880768" w:rsidP="0034191D">
            <w:pPr>
              <w:jc w:val="right"/>
            </w:pPr>
            <w:r>
              <w:rPr>
                <w:rStyle w:val="kursiv"/>
                <w:sz w:val="21"/>
                <w:szCs w:val="21"/>
              </w:rPr>
              <w:t>150 470 683</w:t>
            </w:r>
          </w:p>
        </w:tc>
        <w:tc>
          <w:tcPr>
            <w:tcW w:w="1020" w:type="dxa"/>
          </w:tcPr>
          <w:p w:rsidR="00880768" w:rsidRDefault="00880768" w:rsidP="0034191D">
            <w:pPr>
              <w:jc w:val="right"/>
            </w:pPr>
            <w:r>
              <w:rPr>
                <w:rStyle w:val="kursiv"/>
                <w:sz w:val="21"/>
                <w:szCs w:val="21"/>
              </w:rPr>
              <w:t>-20,0</w:t>
            </w:r>
          </w:p>
        </w:tc>
      </w:tr>
    </w:tbl>
    <w:p w:rsidR="00880768" w:rsidRDefault="00880768" w:rsidP="00880768">
      <w:pPr>
        <w:pStyle w:val="Overskrift1"/>
      </w:pPr>
      <w:r>
        <w:t>Bruk av stikkordet «kan overføres»</w:t>
      </w:r>
    </w:p>
    <w:p w:rsidR="00880768" w:rsidRDefault="00880768" w:rsidP="00880768">
      <w:r>
        <w:t xml:space="preserve">Stikkordet «kan overføres» benyttes fordi utbetaling på en inngått avtale eller tilsagn om tilskudd i 2019 helt eller delvis kan foretas i 2020 eller senere budsjettår for å sikre at alle vilkår i avtalen eller tilsagnet er oppfylt før utbetaling finner sted. </w:t>
      </w:r>
    </w:p>
    <w:p w:rsidR="00880768" w:rsidRDefault="00880768" w:rsidP="00880768">
      <w:r>
        <w:t>Når det gjelder kap. 1820, post 22, post 60 og post 72 kan bruk av stikkordet i tillegg begrunnes ut fra at bevilgningen gjelder bygg, anlegg og materiell.</w:t>
      </w:r>
    </w:p>
    <w:p w:rsidR="00880768" w:rsidRDefault="00880768" w:rsidP="00880768">
      <w:pPr>
        <w:pStyle w:val="avsnitt-undertittel"/>
      </w:pPr>
      <w:r>
        <w:t>Under Olje- og energidepartementet blir stikkordet foreslått knyttet til disse postene utenom postgruppe 30–49</w:t>
      </w:r>
    </w:p>
    <w:tbl>
      <w:tblPr>
        <w:tblStyle w:val="StandardTabell"/>
        <w:tblW w:w="9120" w:type="dxa"/>
        <w:tblLayout w:type="fixed"/>
        <w:tblLook w:val="04A0" w:firstRow="1" w:lastRow="0" w:firstColumn="1" w:lastColumn="0" w:noHBand="0" w:noVBand="1"/>
      </w:tblPr>
      <w:tblGrid>
        <w:gridCol w:w="1140"/>
        <w:gridCol w:w="1140"/>
        <w:gridCol w:w="4560"/>
        <w:gridCol w:w="1140"/>
        <w:gridCol w:w="1140"/>
      </w:tblGrid>
      <w:tr w:rsidR="00880768" w:rsidTr="0034191D">
        <w:trPr>
          <w:trHeight w:val="640"/>
        </w:trPr>
        <w:tc>
          <w:tcPr>
            <w:tcW w:w="1140" w:type="dxa"/>
            <w:shd w:val="clear" w:color="auto" w:fill="FFFFFF"/>
          </w:tcPr>
          <w:p w:rsidR="00880768" w:rsidRDefault="00880768" w:rsidP="0034191D">
            <w:pPr>
              <w:pStyle w:val="Tabellnavn"/>
            </w:pPr>
            <w:r>
              <w:t>KAOSU</w:t>
            </w:r>
          </w:p>
        </w:tc>
        <w:tc>
          <w:tcPr>
            <w:tcW w:w="1140" w:type="dxa"/>
          </w:tcPr>
          <w:p w:rsidR="00880768" w:rsidRDefault="00880768" w:rsidP="0034191D">
            <w:pPr>
              <w:pStyle w:val="Tabellnavn"/>
            </w:pPr>
          </w:p>
        </w:tc>
        <w:tc>
          <w:tcPr>
            <w:tcW w:w="4560" w:type="dxa"/>
          </w:tcPr>
          <w:p w:rsidR="00880768" w:rsidRDefault="00880768" w:rsidP="0034191D">
            <w:pPr>
              <w:pStyle w:val="Tabellnavn"/>
            </w:pPr>
          </w:p>
        </w:tc>
        <w:tc>
          <w:tcPr>
            <w:tcW w:w="1140" w:type="dxa"/>
          </w:tcPr>
          <w:p w:rsidR="00880768" w:rsidRDefault="00880768" w:rsidP="0034191D">
            <w:pPr>
              <w:pStyle w:val="Tabellnavn"/>
              <w:jc w:val="right"/>
            </w:pPr>
          </w:p>
        </w:tc>
        <w:tc>
          <w:tcPr>
            <w:tcW w:w="1140" w:type="dxa"/>
          </w:tcPr>
          <w:p w:rsidR="00880768" w:rsidRDefault="00880768" w:rsidP="0034191D">
            <w:pPr>
              <w:jc w:val="right"/>
            </w:pPr>
            <w:r>
              <w:t>(i 1 000 kr)</w:t>
            </w:r>
          </w:p>
        </w:tc>
      </w:tr>
      <w:tr w:rsidR="00880768" w:rsidTr="0034191D">
        <w:trPr>
          <w:trHeight w:val="600"/>
        </w:trPr>
        <w:tc>
          <w:tcPr>
            <w:tcW w:w="1140" w:type="dxa"/>
          </w:tcPr>
          <w:p w:rsidR="00880768" w:rsidRDefault="00880768" w:rsidP="0034191D">
            <w:r>
              <w:t>Kap.</w:t>
            </w:r>
          </w:p>
        </w:tc>
        <w:tc>
          <w:tcPr>
            <w:tcW w:w="1140" w:type="dxa"/>
          </w:tcPr>
          <w:p w:rsidR="00880768" w:rsidRDefault="00880768" w:rsidP="0034191D">
            <w:r>
              <w:t>Post</w:t>
            </w:r>
          </w:p>
        </w:tc>
        <w:tc>
          <w:tcPr>
            <w:tcW w:w="4560" w:type="dxa"/>
          </w:tcPr>
          <w:p w:rsidR="00880768" w:rsidRDefault="00880768" w:rsidP="0034191D">
            <w:r>
              <w:t>Betegnelse</w:t>
            </w:r>
          </w:p>
        </w:tc>
        <w:tc>
          <w:tcPr>
            <w:tcW w:w="1140" w:type="dxa"/>
          </w:tcPr>
          <w:p w:rsidR="00880768" w:rsidRDefault="00880768" w:rsidP="0034191D">
            <w:pPr>
              <w:jc w:val="right"/>
            </w:pPr>
            <w:r>
              <w:t>Overført til 2018</w:t>
            </w:r>
          </w:p>
        </w:tc>
        <w:tc>
          <w:tcPr>
            <w:tcW w:w="1140" w:type="dxa"/>
          </w:tcPr>
          <w:p w:rsidR="00880768" w:rsidRDefault="00880768" w:rsidP="0034191D">
            <w:pPr>
              <w:jc w:val="right"/>
            </w:pPr>
            <w:r>
              <w:t xml:space="preserve">Forslag </w:t>
            </w:r>
            <w:r>
              <w:rPr>
                <w:sz w:val="22"/>
              </w:rPr>
              <w:br/>
            </w:r>
            <w:r>
              <w:t>2019</w:t>
            </w:r>
          </w:p>
        </w:tc>
      </w:tr>
      <w:tr w:rsidR="00880768" w:rsidTr="0034191D">
        <w:trPr>
          <w:trHeight w:val="380"/>
        </w:trPr>
        <w:tc>
          <w:tcPr>
            <w:tcW w:w="1140" w:type="dxa"/>
          </w:tcPr>
          <w:p w:rsidR="00880768" w:rsidRDefault="00880768" w:rsidP="0034191D">
            <w:r>
              <w:t>1800</w:t>
            </w:r>
          </w:p>
        </w:tc>
        <w:tc>
          <w:tcPr>
            <w:tcW w:w="1140" w:type="dxa"/>
          </w:tcPr>
          <w:p w:rsidR="00880768" w:rsidRDefault="00880768" w:rsidP="0034191D">
            <w:r>
              <w:t>21</w:t>
            </w:r>
          </w:p>
        </w:tc>
        <w:tc>
          <w:tcPr>
            <w:tcW w:w="4560" w:type="dxa"/>
          </w:tcPr>
          <w:p w:rsidR="00880768" w:rsidRDefault="00880768" w:rsidP="0034191D">
            <w:r>
              <w:t>Spesielle driftsutgifter</w:t>
            </w:r>
          </w:p>
        </w:tc>
        <w:tc>
          <w:tcPr>
            <w:tcW w:w="1140" w:type="dxa"/>
          </w:tcPr>
          <w:p w:rsidR="00880768" w:rsidRDefault="00880768" w:rsidP="0034191D">
            <w:pPr>
              <w:jc w:val="right"/>
            </w:pPr>
            <w:r>
              <w:t>26 114</w:t>
            </w:r>
          </w:p>
        </w:tc>
        <w:tc>
          <w:tcPr>
            <w:tcW w:w="1140" w:type="dxa"/>
          </w:tcPr>
          <w:p w:rsidR="00880768" w:rsidRDefault="00880768" w:rsidP="0034191D">
            <w:pPr>
              <w:jc w:val="right"/>
            </w:pPr>
            <w:r>
              <w:t>26 500</w:t>
            </w:r>
          </w:p>
        </w:tc>
      </w:tr>
      <w:tr w:rsidR="00880768" w:rsidTr="0034191D">
        <w:trPr>
          <w:trHeight w:val="380"/>
        </w:trPr>
        <w:tc>
          <w:tcPr>
            <w:tcW w:w="1140" w:type="dxa"/>
          </w:tcPr>
          <w:p w:rsidR="00880768" w:rsidRDefault="00880768" w:rsidP="0034191D">
            <w:r>
              <w:t>1800</w:t>
            </w:r>
          </w:p>
        </w:tc>
        <w:tc>
          <w:tcPr>
            <w:tcW w:w="1140" w:type="dxa"/>
          </w:tcPr>
          <w:p w:rsidR="00880768" w:rsidRDefault="00880768" w:rsidP="0034191D">
            <w:r>
              <w:t>50</w:t>
            </w:r>
          </w:p>
        </w:tc>
        <w:tc>
          <w:tcPr>
            <w:tcW w:w="4560" w:type="dxa"/>
          </w:tcPr>
          <w:p w:rsidR="00880768" w:rsidRDefault="00880768" w:rsidP="0034191D">
            <w:r>
              <w:t>Overføring til andre forvaltningsorganer</w:t>
            </w:r>
          </w:p>
        </w:tc>
        <w:tc>
          <w:tcPr>
            <w:tcW w:w="1140" w:type="dxa"/>
          </w:tcPr>
          <w:p w:rsidR="00880768" w:rsidRDefault="00880768" w:rsidP="0034191D">
            <w:pPr>
              <w:jc w:val="right"/>
            </w:pPr>
          </w:p>
        </w:tc>
        <w:tc>
          <w:tcPr>
            <w:tcW w:w="1140" w:type="dxa"/>
          </w:tcPr>
          <w:p w:rsidR="00880768" w:rsidRDefault="00880768" w:rsidP="0034191D">
            <w:pPr>
              <w:jc w:val="right"/>
            </w:pPr>
            <w:r>
              <w:t>500</w:t>
            </w:r>
          </w:p>
        </w:tc>
      </w:tr>
      <w:tr w:rsidR="00880768" w:rsidTr="0034191D">
        <w:trPr>
          <w:trHeight w:val="380"/>
        </w:trPr>
        <w:tc>
          <w:tcPr>
            <w:tcW w:w="1140" w:type="dxa"/>
          </w:tcPr>
          <w:p w:rsidR="00880768" w:rsidRDefault="00880768" w:rsidP="0034191D">
            <w:r>
              <w:t>1800</w:t>
            </w:r>
          </w:p>
        </w:tc>
        <w:tc>
          <w:tcPr>
            <w:tcW w:w="1140" w:type="dxa"/>
          </w:tcPr>
          <w:p w:rsidR="00880768" w:rsidRDefault="00880768" w:rsidP="0034191D">
            <w:r>
              <w:t>72</w:t>
            </w:r>
          </w:p>
        </w:tc>
        <w:tc>
          <w:tcPr>
            <w:tcW w:w="4560" w:type="dxa"/>
          </w:tcPr>
          <w:p w:rsidR="00880768" w:rsidRDefault="00880768" w:rsidP="0034191D">
            <w:r>
              <w:t>Tilskudd til olje- og energiformål</w:t>
            </w:r>
          </w:p>
        </w:tc>
        <w:tc>
          <w:tcPr>
            <w:tcW w:w="1140" w:type="dxa"/>
          </w:tcPr>
          <w:p w:rsidR="00880768" w:rsidRDefault="00880768" w:rsidP="0034191D">
            <w:pPr>
              <w:jc w:val="right"/>
            </w:pPr>
            <w:r>
              <w:t>2 157</w:t>
            </w:r>
          </w:p>
        </w:tc>
        <w:tc>
          <w:tcPr>
            <w:tcW w:w="1140" w:type="dxa"/>
          </w:tcPr>
          <w:p w:rsidR="00880768" w:rsidRDefault="00880768" w:rsidP="0034191D">
            <w:pPr>
              <w:jc w:val="right"/>
            </w:pPr>
            <w:r>
              <w:t>5 000</w:t>
            </w:r>
          </w:p>
        </w:tc>
      </w:tr>
      <w:tr w:rsidR="00880768" w:rsidTr="0034191D">
        <w:trPr>
          <w:trHeight w:val="380"/>
        </w:trPr>
        <w:tc>
          <w:tcPr>
            <w:tcW w:w="1140" w:type="dxa"/>
          </w:tcPr>
          <w:p w:rsidR="00880768" w:rsidRDefault="00880768" w:rsidP="0034191D">
            <w:r>
              <w:t>1810</w:t>
            </w:r>
          </w:p>
        </w:tc>
        <w:tc>
          <w:tcPr>
            <w:tcW w:w="1140" w:type="dxa"/>
          </w:tcPr>
          <w:p w:rsidR="00880768" w:rsidRDefault="00880768" w:rsidP="0034191D">
            <w:r>
              <w:t>21</w:t>
            </w:r>
          </w:p>
        </w:tc>
        <w:tc>
          <w:tcPr>
            <w:tcW w:w="4560" w:type="dxa"/>
          </w:tcPr>
          <w:p w:rsidR="00880768" w:rsidRDefault="00880768" w:rsidP="0034191D">
            <w:r>
              <w:t>Spesielle driftsutgifter</w:t>
            </w:r>
          </w:p>
        </w:tc>
        <w:tc>
          <w:tcPr>
            <w:tcW w:w="1140" w:type="dxa"/>
          </w:tcPr>
          <w:p w:rsidR="00880768" w:rsidRDefault="00880768" w:rsidP="0034191D">
            <w:pPr>
              <w:jc w:val="right"/>
            </w:pPr>
            <w:r>
              <w:t>8 176</w:t>
            </w:r>
          </w:p>
        </w:tc>
        <w:tc>
          <w:tcPr>
            <w:tcW w:w="1140" w:type="dxa"/>
          </w:tcPr>
          <w:p w:rsidR="00880768" w:rsidRDefault="00880768" w:rsidP="0034191D">
            <w:pPr>
              <w:jc w:val="right"/>
            </w:pPr>
            <w:r>
              <w:t>82 000</w:t>
            </w:r>
          </w:p>
        </w:tc>
      </w:tr>
      <w:tr w:rsidR="00880768" w:rsidTr="0034191D">
        <w:trPr>
          <w:trHeight w:val="380"/>
        </w:trPr>
        <w:tc>
          <w:tcPr>
            <w:tcW w:w="1140" w:type="dxa"/>
          </w:tcPr>
          <w:p w:rsidR="00880768" w:rsidRDefault="00880768" w:rsidP="0034191D">
            <w:r>
              <w:t>1810</w:t>
            </w:r>
          </w:p>
        </w:tc>
        <w:tc>
          <w:tcPr>
            <w:tcW w:w="1140" w:type="dxa"/>
          </w:tcPr>
          <w:p w:rsidR="00880768" w:rsidRDefault="00880768" w:rsidP="0034191D">
            <w:r>
              <w:t>23</w:t>
            </w:r>
          </w:p>
        </w:tc>
        <w:tc>
          <w:tcPr>
            <w:tcW w:w="4560" w:type="dxa"/>
          </w:tcPr>
          <w:p w:rsidR="00880768" w:rsidRDefault="00880768" w:rsidP="0034191D">
            <w:r>
              <w:t>Oppdrags- og samarbeidsvirksomhet</w:t>
            </w:r>
          </w:p>
        </w:tc>
        <w:tc>
          <w:tcPr>
            <w:tcW w:w="1140" w:type="dxa"/>
          </w:tcPr>
          <w:p w:rsidR="00880768" w:rsidRDefault="00880768" w:rsidP="0034191D">
            <w:pPr>
              <w:jc w:val="right"/>
            </w:pPr>
          </w:p>
        </w:tc>
        <w:tc>
          <w:tcPr>
            <w:tcW w:w="1140" w:type="dxa"/>
          </w:tcPr>
          <w:p w:rsidR="00880768" w:rsidRDefault="00880768" w:rsidP="0034191D">
            <w:pPr>
              <w:jc w:val="right"/>
            </w:pPr>
            <w:r>
              <w:t>119 000</w:t>
            </w:r>
          </w:p>
        </w:tc>
      </w:tr>
      <w:tr w:rsidR="00880768" w:rsidTr="0034191D">
        <w:trPr>
          <w:trHeight w:val="380"/>
        </w:trPr>
        <w:tc>
          <w:tcPr>
            <w:tcW w:w="1140" w:type="dxa"/>
          </w:tcPr>
          <w:p w:rsidR="00880768" w:rsidRDefault="00880768" w:rsidP="0034191D">
            <w:r>
              <w:t>1820</w:t>
            </w:r>
          </w:p>
        </w:tc>
        <w:tc>
          <w:tcPr>
            <w:tcW w:w="1140" w:type="dxa"/>
          </w:tcPr>
          <w:p w:rsidR="00880768" w:rsidRDefault="00880768" w:rsidP="0034191D">
            <w:r>
              <w:t>21</w:t>
            </w:r>
          </w:p>
        </w:tc>
        <w:tc>
          <w:tcPr>
            <w:tcW w:w="4560" w:type="dxa"/>
          </w:tcPr>
          <w:p w:rsidR="00880768" w:rsidRDefault="00880768" w:rsidP="0034191D">
            <w:r>
              <w:t>Spesielle driftsutgifter</w:t>
            </w:r>
          </w:p>
        </w:tc>
        <w:tc>
          <w:tcPr>
            <w:tcW w:w="1140" w:type="dxa"/>
          </w:tcPr>
          <w:p w:rsidR="00880768" w:rsidRDefault="00880768" w:rsidP="0034191D">
            <w:pPr>
              <w:jc w:val="right"/>
            </w:pPr>
            <w:r>
              <w:t>5 236</w:t>
            </w:r>
          </w:p>
        </w:tc>
        <w:tc>
          <w:tcPr>
            <w:tcW w:w="1140" w:type="dxa"/>
          </w:tcPr>
          <w:p w:rsidR="00880768" w:rsidRDefault="00880768" w:rsidP="0034191D">
            <w:pPr>
              <w:jc w:val="right"/>
            </w:pPr>
            <w:r>
              <w:t>32 000</w:t>
            </w:r>
          </w:p>
        </w:tc>
      </w:tr>
      <w:tr w:rsidR="00880768" w:rsidTr="0034191D">
        <w:trPr>
          <w:trHeight w:val="380"/>
        </w:trPr>
        <w:tc>
          <w:tcPr>
            <w:tcW w:w="1140" w:type="dxa"/>
          </w:tcPr>
          <w:p w:rsidR="00880768" w:rsidRDefault="00880768" w:rsidP="0034191D">
            <w:r>
              <w:t>1820</w:t>
            </w:r>
          </w:p>
        </w:tc>
        <w:tc>
          <w:tcPr>
            <w:tcW w:w="1140" w:type="dxa"/>
          </w:tcPr>
          <w:p w:rsidR="00880768" w:rsidRDefault="00880768" w:rsidP="0034191D">
            <w:r>
              <w:t>22</w:t>
            </w:r>
          </w:p>
        </w:tc>
        <w:tc>
          <w:tcPr>
            <w:tcW w:w="4560" w:type="dxa"/>
          </w:tcPr>
          <w:p w:rsidR="00880768" w:rsidRDefault="00880768" w:rsidP="0034191D">
            <w:r>
              <w:t>Flom- og skredforebygging</w:t>
            </w:r>
          </w:p>
        </w:tc>
        <w:tc>
          <w:tcPr>
            <w:tcW w:w="1140" w:type="dxa"/>
          </w:tcPr>
          <w:p w:rsidR="00880768" w:rsidRDefault="00880768" w:rsidP="0034191D">
            <w:pPr>
              <w:jc w:val="right"/>
            </w:pPr>
            <w:r>
              <w:t>81 734</w:t>
            </w:r>
          </w:p>
        </w:tc>
        <w:tc>
          <w:tcPr>
            <w:tcW w:w="1140" w:type="dxa"/>
          </w:tcPr>
          <w:p w:rsidR="00880768" w:rsidRDefault="00880768" w:rsidP="0034191D">
            <w:pPr>
              <w:jc w:val="right"/>
            </w:pPr>
            <w:r>
              <w:t>257 000</w:t>
            </w:r>
          </w:p>
        </w:tc>
      </w:tr>
      <w:tr w:rsidR="00880768" w:rsidTr="0034191D">
        <w:trPr>
          <w:trHeight w:val="380"/>
        </w:trPr>
        <w:tc>
          <w:tcPr>
            <w:tcW w:w="1140" w:type="dxa"/>
          </w:tcPr>
          <w:p w:rsidR="00880768" w:rsidRDefault="00880768" w:rsidP="0034191D">
            <w:r>
              <w:t>1820</w:t>
            </w:r>
          </w:p>
        </w:tc>
        <w:tc>
          <w:tcPr>
            <w:tcW w:w="1140" w:type="dxa"/>
          </w:tcPr>
          <w:p w:rsidR="00880768" w:rsidRDefault="00880768" w:rsidP="0034191D">
            <w:r>
              <w:t>23</w:t>
            </w:r>
          </w:p>
        </w:tc>
        <w:tc>
          <w:tcPr>
            <w:tcW w:w="4560" w:type="dxa"/>
          </w:tcPr>
          <w:p w:rsidR="00880768" w:rsidRDefault="00880768" w:rsidP="0034191D">
            <w:r>
              <w:t>Oppdrags- og samarbeidsvirksomhet</w:t>
            </w:r>
          </w:p>
        </w:tc>
        <w:tc>
          <w:tcPr>
            <w:tcW w:w="1140" w:type="dxa"/>
          </w:tcPr>
          <w:p w:rsidR="00880768" w:rsidRDefault="00880768" w:rsidP="0034191D">
            <w:pPr>
              <w:jc w:val="right"/>
            </w:pPr>
            <w:r>
              <w:t>13 523</w:t>
            </w:r>
          </w:p>
        </w:tc>
        <w:tc>
          <w:tcPr>
            <w:tcW w:w="1140" w:type="dxa"/>
          </w:tcPr>
          <w:p w:rsidR="00880768" w:rsidRDefault="00880768" w:rsidP="0034191D">
            <w:pPr>
              <w:jc w:val="right"/>
            </w:pPr>
            <w:r>
              <w:t>89 000</w:t>
            </w:r>
          </w:p>
        </w:tc>
      </w:tr>
      <w:tr w:rsidR="00880768" w:rsidTr="0034191D">
        <w:trPr>
          <w:trHeight w:val="380"/>
        </w:trPr>
        <w:tc>
          <w:tcPr>
            <w:tcW w:w="1140" w:type="dxa"/>
          </w:tcPr>
          <w:p w:rsidR="00880768" w:rsidRDefault="00880768" w:rsidP="0034191D">
            <w:r>
              <w:t>1820</w:t>
            </w:r>
          </w:p>
        </w:tc>
        <w:tc>
          <w:tcPr>
            <w:tcW w:w="1140" w:type="dxa"/>
          </w:tcPr>
          <w:p w:rsidR="00880768" w:rsidRDefault="00880768" w:rsidP="0034191D">
            <w:r>
              <w:t>60</w:t>
            </w:r>
          </w:p>
        </w:tc>
        <w:tc>
          <w:tcPr>
            <w:tcW w:w="4560" w:type="dxa"/>
          </w:tcPr>
          <w:p w:rsidR="00880768" w:rsidRDefault="00880768" w:rsidP="0034191D">
            <w:r>
              <w:t>Tilskudd til flom- og skredforebygging</w:t>
            </w:r>
          </w:p>
        </w:tc>
        <w:tc>
          <w:tcPr>
            <w:tcW w:w="1140" w:type="dxa"/>
          </w:tcPr>
          <w:p w:rsidR="00880768" w:rsidRDefault="00880768" w:rsidP="0034191D">
            <w:pPr>
              <w:jc w:val="right"/>
            </w:pPr>
            <w:r>
              <w:t>61 550</w:t>
            </w:r>
          </w:p>
        </w:tc>
        <w:tc>
          <w:tcPr>
            <w:tcW w:w="1140" w:type="dxa"/>
          </w:tcPr>
          <w:p w:rsidR="00880768" w:rsidRDefault="00880768" w:rsidP="0034191D">
            <w:pPr>
              <w:jc w:val="right"/>
            </w:pPr>
            <w:r>
              <w:t>66 000</w:t>
            </w:r>
          </w:p>
        </w:tc>
      </w:tr>
      <w:tr w:rsidR="00880768" w:rsidTr="0034191D">
        <w:trPr>
          <w:trHeight w:val="380"/>
        </w:trPr>
        <w:tc>
          <w:tcPr>
            <w:tcW w:w="1140" w:type="dxa"/>
          </w:tcPr>
          <w:p w:rsidR="00880768" w:rsidRDefault="00880768" w:rsidP="0034191D">
            <w:r>
              <w:t>1820</w:t>
            </w:r>
          </w:p>
        </w:tc>
        <w:tc>
          <w:tcPr>
            <w:tcW w:w="1140" w:type="dxa"/>
          </w:tcPr>
          <w:p w:rsidR="00880768" w:rsidRDefault="00880768" w:rsidP="0034191D">
            <w:r>
              <w:t>72</w:t>
            </w:r>
          </w:p>
        </w:tc>
        <w:tc>
          <w:tcPr>
            <w:tcW w:w="4560" w:type="dxa"/>
          </w:tcPr>
          <w:p w:rsidR="00880768" w:rsidRDefault="00880768" w:rsidP="0034191D">
            <w:r>
              <w:t>Tilskudd til flom- og skredforebygging</w:t>
            </w:r>
          </w:p>
        </w:tc>
        <w:tc>
          <w:tcPr>
            <w:tcW w:w="1140" w:type="dxa"/>
          </w:tcPr>
          <w:p w:rsidR="00880768" w:rsidRDefault="00880768" w:rsidP="0034191D">
            <w:pPr>
              <w:jc w:val="right"/>
            </w:pPr>
            <w:r>
              <w:t>131</w:t>
            </w:r>
          </w:p>
        </w:tc>
        <w:tc>
          <w:tcPr>
            <w:tcW w:w="1140" w:type="dxa"/>
          </w:tcPr>
          <w:p w:rsidR="00880768" w:rsidRDefault="00880768" w:rsidP="0034191D">
            <w:pPr>
              <w:jc w:val="right"/>
            </w:pPr>
            <w:r>
              <w:t>6 000</w:t>
            </w:r>
          </w:p>
        </w:tc>
      </w:tr>
      <w:tr w:rsidR="00880768" w:rsidTr="0034191D">
        <w:trPr>
          <w:trHeight w:val="380"/>
        </w:trPr>
        <w:tc>
          <w:tcPr>
            <w:tcW w:w="1140" w:type="dxa"/>
          </w:tcPr>
          <w:p w:rsidR="00880768" w:rsidRDefault="00880768" w:rsidP="0034191D">
            <w:r>
              <w:t>1820</w:t>
            </w:r>
          </w:p>
        </w:tc>
        <w:tc>
          <w:tcPr>
            <w:tcW w:w="1140" w:type="dxa"/>
          </w:tcPr>
          <w:p w:rsidR="00880768" w:rsidRDefault="00880768" w:rsidP="0034191D">
            <w:r>
              <w:t>74</w:t>
            </w:r>
          </w:p>
        </w:tc>
        <w:tc>
          <w:tcPr>
            <w:tcW w:w="4560" w:type="dxa"/>
          </w:tcPr>
          <w:p w:rsidR="00880768" w:rsidRDefault="00880768" w:rsidP="0034191D">
            <w:r>
              <w:t>Tilskudd til museums- og kulturminnetiltak</w:t>
            </w:r>
          </w:p>
        </w:tc>
        <w:tc>
          <w:tcPr>
            <w:tcW w:w="1140" w:type="dxa"/>
          </w:tcPr>
          <w:p w:rsidR="00880768" w:rsidRDefault="00880768" w:rsidP="0034191D">
            <w:pPr>
              <w:jc w:val="right"/>
            </w:pPr>
          </w:p>
        </w:tc>
        <w:tc>
          <w:tcPr>
            <w:tcW w:w="1140" w:type="dxa"/>
          </w:tcPr>
          <w:p w:rsidR="00880768" w:rsidRDefault="00880768" w:rsidP="0034191D">
            <w:pPr>
              <w:jc w:val="right"/>
            </w:pPr>
            <w:r>
              <w:t>8 600</w:t>
            </w:r>
          </w:p>
        </w:tc>
      </w:tr>
      <w:tr w:rsidR="00880768" w:rsidTr="0034191D">
        <w:trPr>
          <w:trHeight w:val="380"/>
        </w:trPr>
        <w:tc>
          <w:tcPr>
            <w:tcW w:w="1140" w:type="dxa"/>
          </w:tcPr>
          <w:p w:rsidR="00880768" w:rsidRDefault="00880768" w:rsidP="0034191D">
            <w:r>
              <w:t>1840</w:t>
            </w:r>
          </w:p>
        </w:tc>
        <w:tc>
          <w:tcPr>
            <w:tcW w:w="1140" w:type="dxa"/>
          </w:tcPr>
          <w:p w:rsidR="00880768" w:rsidRDefault="00880768" w:rsidP="0034191D">
            <w:r>
              <w:t>21</w:t>
            </w:r>
          </w:p>
        </w:tc>
        <w:tc>
          <w:tcPr>
            <w:tcW w:w="4560" w:type="dxa"/>
          </w:tcPr>
          <w:p w:rsidR="00880768" w:rsidRDefault="00880768" w:rsidP="0034191D">
            <w:r>
              <w:t>Spesielle driftsutgifter</w:t>
            </w:r>
          </w:p>
        </w:tc>
        <w:tc>
          <w:tcPr>
            <w:tcW w:w="1140" w:type="dxa"/>
          </w:tcPr>
          <w:p w:rsidR="00880768" w:rsidRDefault="00880768" w:rsidP="0034191D">
            <w:pPr>
              <w:jc w:val="right"/>
            </w:pPr>
            <w:r>
              <w:t>8 358</w:t>
            </w:r>
          </w:p>
        </w:tc>
        <w:tc>
          <w:tcPr>
            <w:tcW w:w="1140" w:type="dxa"/>
          </w:tcPr>
          <w:p w:rsidR="00880768" w:rsidRDefault="00880768" w:rsidP="0034191D">
            <w:pPr>
              <w:jc w:val="right"/>
            </w:pPr>
          </w:p>
        </w:tc>
      </w:tr>
      <w:tr w:rsidR="00880768" w:rsidTr="0034191D">
        <w:trPr>
          <w:trHeight w:val="380"/>
        </w:trPr>
        <w:tc>
          <w:tcPr>
            <w:tcW w:w="1140" w:type="dxa"/>
          </w:tcPr>
          <w:p w:rsidR="00880768" w:rsidRDefault="00880768" w:rsidP="0034191D">
            <w:r>
              <w:t>1840</w:t>
            </w:r>
          </w:p>
        </w:tc>
        <w:tc>
          <w:tcPr>
            <w:tcW w:w="1140" w:type="dxa"/>
          </w:tcPr>
          <w:p w:rsidR="00880768" w:rsidRDefault="00880768" w:rsidP="0034191D">
            <w:r>
              <w:t>70</w:t>
            </w:r>
          </w:p>
        </w:tc>
        <w:tc>
          <w:tcPr>
            <w:tcW w:w="4560" w:type="dxa"/>
          </w:tcPr>
          <w:p w:rsidR="00880768" w:rsidRDefault="00880768" w:rsidP="0034191D">
            <w:r>
              <w:t>Administrasjon, Gassnova SF</w:t>
            </w:r>
          </w:p>
        </w:tc>
        <w:tc>
          <w:tcPr>
            <w:tcW w:w="1140" w:type="dxa"/>
          </w:tcPr>
          <w:p w:rsidR="00880768" w:rsidRDefault="00880768" w:rsidP="0034191D">
            <w:pPr>
              <w:jc w:val="right"/>
            </w:pPr>
            <w:r>
              <w:t>25 000</w:t>
            </w:r>
          </w:p>
        </w:tc>
        <w:tc>
          <w:tcPr>
            <w:tcW w:w="1140" w:type="dxa"/>
          </w:tcPr>
          <w:p w:rsidR="00880768" w:rsidRDefault="00880768" w:rsidP="0034191D">
            <w:pPr>
              <w:jc w:val="right"/>
            </w:pPr>
            <w:r>
              <w:t>126 000</w:t>
            </w:r>
          </w:p>
        </w:tc>
      </w:tr>
      <w:tr w:rsidR="00880768" w:rsidTr="0034191D">
        <w:trPr>
          <w:trHeight w:val="380"/>
        </w:trPr>
        <w:tc>
          <w:tcPr>
            <w:tcW w:w="1140" w:type="dxa"/>
          </w:tcPr>
          <w:p w:rsidR="00880768" w:rsidRDefault="00880768" w:rsidP="0034191D">
            <w:r>
              <w:t>1840</w:t>
            </w:r>
          </w:p>
        </w:tc>
        <w:tc>
          <w:tcPr>
            <w:tcW w:w="1140" w:type="dxa"/>
          </w:tcPr>
          <w:p w:rsidR="00880768" w:rsidRDefault="00880768" w:rsidP="0034191D">
            <w:r>
              <w:t>72</w:t>
            </w:r>
          </w:p>
        </w:tc>
        <w:tc>
          <w:tcPr>
            <w:tcW w:w="4560" w:type="dxa"/>
          </w:tcPr>
          <w:p w:rsidR="00880768" w:rsidRDefault="00880768" w:rsidP="0034191D">
            <w:r>
              <w:t>Fullskala CO</w:t>
            </w:r>
            <w:r>
              <w:rPr>
                <w:rStyle w:val="skrift-senket"/>
                <w:sz w:val="21"/>
                <w:szCs w:val="21"/>
              </w:rPr>
              <w:t>2</w:t>
            </w:r>
            <w:r>
              <w:t>-håndtering</w:t>
            </w:r>
          </w:p>
        </w:tc>
        <w:tc>
          <w:tcPr>
            <w:tcW w:w="1140" w:type="dxa"/>
          </w:tcPr>
          <w:p w:rsidR="00880768" w:rsidRDefault="00880768" w:rsidP="0034191D">
            <w:pPr>
              <w:jc w:val="right"/>
            </w:pPr>
            <w:r>
              <w:t>144 542</w:t>
            </w:r>
          </w:p>
        </w:tc>
        <w:tc>
          <w:tcPr>
            <w:tcW w:w="1140" w:type="dxa"/>
          </w:tcPr>
          <w:p w:rsidR="00880768" w:rsidRDefault="00880768" w:rsidP="0034191D">
            <w:pPr>
              <w:jc w:val="right"/>
            </w:pPr>
            <w:r>
              <w:t>149 000</w:t>
            </w:r>
          </w:p>
        </w:tc>
      </w:tr>
    </w:tbl>
    <w:p w:rsidR="00880768" w:rsidRDefault="00880768" w:rsidP="00880768">
      <w:pPr>
        <w:pStyle w:val="Overskrift1"/>
      </w:pPr>
      <w:r>
        <w:t>Omstille norsk økonomi for å skape vekst, nye arbeid</w:t>
      </w:r>
      <w:r>
        <w:t>s</w:t>
      </w:r>
      <w:r>
        <w:t>plasser og sikre flere ben å stå på</w:t>
      </w:r>
    </w:p>
    <w:p w:rsidR="00880768" w:rsidRDefault="00880768" w:rsidP="00880768">
      <w:r>
        <w:t>Jeløya-plattformen trekker frem seks store utfordringer som Norge står overfor. En av utfordring</w:t>
      </w:r>
      <w:r>
        <w:t>e</w:t>
      </w:r>
      <w:r>
        <w:t xml:space="preserve">ne er å omstille norsk økonomi for å skape vekst, nye arbeidsplasser og sikre flere ben å stå på. Det er flere forhold som bidrar til god omstillingsevne. For en omtale av den brede næringspolitikkens betydning for omstilling, se Nasjonalbudsjettet for 2019. </w:t>
      </w:r>
    </w:p>
    <w:p w:rsidR="00880768" w:rsidRDefault="00880768" w:rsidP="00880768">
      <w:r>
        <w:lastRenderedPageBreak/>
        <w:t>Sterke kunnskapsmiljøer innen petroleumsvirksomhet finnes over hele landet og bidrar til å skape et robust og mangfoldig næringsliv som sikrer arbeidsplasser og regional næringsutvikling. Gje</w:t>
      </w:r>
      <w:r>
        <w:t>n</w:t>
      </w:r>
      <w:r>
        <w:t>nom sterke kunnskapsmiljøer i regionale klynger, bidrar petroleumsvirksomheten direkte til aktiv</w:t>
      </w:r>
      <w:r>
        <w:t>i</w:t>
      </w:r>
      <w:r>
        <w:t>tet og sysselsetting i distriktene. Samspillet og læringsprosessene mellom en kompetansetung olj</w:t>
      </w:r>
      <w:r>
        <w:t>e</w:t>
      </w:r>
      <w:r>
        <w:t>leverandørindustri og annen konkurranseutsatt fastlandsindustri bidrar videre til en bredere, mer robust og kunnskapsrik næringsstruktur – i hele landet.</w:t>
      </w:r>
    </w:p>
    <w:p w:rsidR="00880768" w:rsidRDefault="00880768" w:rsidP="00880768">
      <w:r>
        <w:t>Investeringsaktiviteten i petroleumsvirksomheten har bidratt til økt produktivitet gjennom overf</w:t>
      </w:r>
      <w:r>
        <w:t>ø</w:t>
      </w:r>
      <w:r>
        <w:t>ring av arbeidskraft og ressurser til kunnskapsbaserte norske leverandørnæringer. Denne aktiviteten i petroleumsrelaterte næringer skaper kunnskapsoverføring, læringsprosesser og økt produktivitet i annen konkurranseutsatt industri og skjermet sektor. Disse læringsprosessene finner sted i utda</w:t>
      </w:r>
      <w:r>
        <w:t>n</w:t>
      </w:r>
      <w:r>
        <w:t>ningssektoren, forskningsinstitusjonene og i næringslivet og gir inspirasjon til innovasjon som fø</w:t>
      </w:r>
      <w:r>
        <w:t>l</w:t>
      </w:r>
      <w:r>
        <w:t>ge av en bred offentlig oppmerksomhet. Disse prosessene har over tid gitt gjødsling til annen n</w:t>
      </w:r>
      <w:r>
        <w:t>æ</w:t>
      </w:r>
      <w:r>
        <w:t>ringsutvikling, miljøvennlige prosesser og sikkerhet i arbeidsprosesser. Eksempler på dette er at teknologi for rensing av sjøvann på havbunnen i forbindelse med oljeutvinning finner sin anve</w:t>
      </w:r>
      <w:r>
        <w:t>n</w:t>
      </w:r>
      <w:r>
        <w:t>delse i å produsere drikkevann fra sjøvann. Overvåking- og kontrollsystemer fra petroleumsn</w:t>
      </w:r>
      <w:r>
        <w:t>æ</w:t>
      </w:r>
      <w:r>
        <w:t xml:space="preserve">ringen finner sin anvendelse i flytende havvindmøller. Datamodeller som simulerer strømning av olje og vann i reservoarbergarter finner sin anvendelse i å oppdage trange blodårer rundt hjertet og vil kunne erstatte dagens røntgenundersøkelser av hjertets kransårer med kateter. </w:t>
      </w:r>
      <w:r>
        <w:rPr>
          <w:spacing w:val="-1"/>
        </w:rPr>
        <w:t>Støpningstekni</w:t>
      </w:r>
      <w:r>
        <w:rPr>
          <w:spacing w:val="-1"/>
        </w:rPr>
        <w:t>k</w:t>
      </w:r>
      <w:r>
        <w:rPr>
          <w:spacing w:val="-1"/>
        </w:rPr>
        <w:t>ker som har sin opprinnelse fra betongplattformenes tid på 1970-tallet blir brukt i støpning av br</w:t>
      </w:r>
      <w:r>
        <w:rPr>
          <w:spacing w:val="-1"/>
        </w:rPr>
        <w:t>o</w:t>
      </w:r>
      <w:r>
        <w:rPr>
          <w:spacing w:val="-1"/>
        </w:rPr>
        <w:t>fundamenter</w:t>
      </w:r>
      <w:r>
        <w:t>.</w:t>
      </w:r>
    </w:p>
    <w:p w:rsidR="00880768" w:rsidRDefault="00880768" w:rsidP="00880768">
      <w:r>
        <w:t>Oljeindustriens kapasitet til å løfte kapitalintensive prosjekter gir en unik mulighet til både tekn</w:t>
      </w:r>
      <w:r>
        <w:t>o</w:t>
      </w:r>
      <w:r>
        <w:t>logiutvikling og -overføring som få andre næringer har kapasitet til. Vår hjemmebaserte levera</w:t>
      </w:r>
      <w:r>
        <w:t>n</w:t>
      </w:r>
      <w:r>
        <w:t>dørindustri har vært og vil fortsatt være en vekstmotor i disse prosessene.</w:t>
      </w:r>
    </w:p>
    <w:p w:rsidR="00880768" w:rsidRDefault="00880768" w:rsidP="00880768">
      <w:r>
        <w:t>Olje- og gassnæringen har vært en bærebjelke i norsk økonomi i mange tiår. Staten sin netto ko</w:t>
      </w:r>
      <w:r>
        <w:t>n</w:t>
      </w:r>
      <w:r>
        <w:t>tantstrøm fra sektoren har vært på mer enn 5 000 mrd. kroner fra 2002. Det er sysselsatt 170 000 direkte eller indirekte i næringen. Næringen vil fortsatt spille en viktig rolle i norsk økonomi i overskuelig framtid, bidra til en naturlig kunnskapsbasert omstilling av økonomien og gi et betyd</w:t>
      </w:r>
      <w:r>
        <w:t>e</w:t>
      </w:r>
      <w:r>
        <w:t>lig bidrag til den fremtidige finansieringen av det norske velferdssamfunnet. Ved å videreføre en stabil, langsiktig petroleumspolitikk med bidrag fra letepolitikken, vil en legge til rette for å vid</w:t>
      </w:r>
      <w:r>
        <w:t>e</w:t>
      </w:r>
      <w:r>
        <w:t>reutvikle olje- og gassvirksomheten og leverandørnæringen. En positiv videre utvikling på norsk sokkel er avgjørende for å opprettholde og videreutvikle kompetansen – ikke bare i oljeselskaper og leverandørbedrifter, men i det brede, norske miljøet, fra universiteter og institutter til ulike tj</w:t>
      </w:r>
      <w:r>
        <w:t>e</w:t>
      </w:r>
      <w:r>
        <w:t>nesteleverandører.</w:t>
      </w:r>
    </w:p>
    <w:p w:rsidR="00880768" w:rsidRDefault="00880768" w:rsidP="00880768">
      <w:r>
        <w:t>Utviklingen for norskbaserte kunnskapsmiljøer, oljeteknologibedrifter og andre leverandører er nært knyttet til utsiktene for lønnsom aktivitet på norsk sokkel. Norsk sokkel har gitt muligheter til innovasjon, utvikling og bruk av ny, verdensledende teknologi. Dette har lagt grunnlaget for utvi</w:t>
      </w:r>
      <w:r>
        <w:t>k</w:t>
      </w:r>
      <w:r>
        <w:t>lingen av en høykompetent og internasjonalt konkurransedyktig industri. Det er viktig at innov</w:t>
      </w:r>
      <w:r>
        <w:t>a</w:t>
      </w:r>
      <w:r>
        <w:t>sjonsevnen og utviklingen av nye teknologiske løsninger fortsetter for at norske leverandører skal være konkurransedyktige også fremover. Det beste myndighetene kan bidra med for å sikre både god ressursforvaltning og en forutsigbar og positiv fremtid for alle disse bedriftene og teknolog</w:t>
      </w:r>
      <w:r>
        <w:t>i</w:t>
      </w:r>
      <w:r>
        <w:t>miljøene, er å legge til rette for fortsatt langsiktig lønnsom aktivitet på norsk sokkel.</w:t>
      </w:r>
    </w:p>
    <w:p w:rsidR="00880768" w:rsidRDefault="00880768" w:rsidP="00880768">
      <w:r>
        <w:t>Forskning og næringsutvikling skal bidra til økt bærekraftig verdiskaping, sysselsetting og komp</w:t>
      </w:r>
      <w:r>
        <w:t>e</w:t>
      </w:r>
      <w:r>
        <w:t>tanse i både petroleums- og energisektoren.</w:t>
      </w:r>
    </w:p>
    <w:p w:rsidR="00880768" w:rsidRDefault="00880768" w:rsidP="00880768">
      <w:r>
        <w:t>Virkemidlene innenfor petroleumsforskning er hovedsakelig programmene PETROMAKS 2 og DEMO 2000 i Norges forskningsråd. I tillegg kommer forskningssentre og generelle ordninger som skattefunn. PETROMAKS 2 favner bredt, fra forskningsprosjekter i universiteter og forskningsi</w:t>
      </w:r>
      <w:r>
        <w:t>n</w:t>
      </w:r>
      <w:r>
        <w:t>stitutter til innovasjonsprosjekter ledet av industrien. DEMO 2000 bidrar til testing av nye løsnin</w:t>
      </w:r>
      <w:r>
        <w:t>g</w:t>
      </w:r>
      <w:r>
        <w:lastRenderedPageBreak/>
        <w:t>er gjennom støtte til pilot- og demonstrasjonsprosjekter. Tett næringsinvolvering bidrar til at fors</w:t>
      </w:r>
      <w:r>
        <w:t>k</w:t>
      </w:r>
      <w:r>
        <w:t>ningsmidlene går til å dekke behov som er identifisert av næringen selv.</w:t>
      </w:r>
    </w:p>
    <w:p w:rsidR="00880768" w:rsidRDefault="00880768" w:rsidP="00880768">
      <w:r>
        <w:t xml:space="preserve">Et viktig delmål med forskningssatsingen er å sikre rekruttering av relevant kompetanse til både petroleums- og energisektoren. Innenfor teknologiske fagdisipliner som ingeniørtjenester, geologi, reservoarforståelse og reservoartolkning, samt digitalisering og prosjektgjennomføring, ligger den norske petroleumsnæringen helt i front. Satsingen på rekruttering må også fremover følges opp. Det er avgjørende at det utdannes og rekrutteres ungdom til næringen som gjør norske bedrifter i stand til å løse framtidige teknologiske utfordringer. </w:t>
      </w:r>
    </w:p>
    <w:p w:rsidR="00880768" w:rsidRDefault="00880768" w:rsidP="00880768">
      <w:r>
        <w:t>Det er viktig at petroleumsnæringen har tilgang på relevant kompetanse nasjonalt. Forskningssen</w:t>
      </w:r>
      <w:r>
        <w:t>t</w:t>
      </w:r>
      <w:r>
        <w:t>rene for miljøvennlig energi og PETROMAKS 2 er viktige virkemidler for å styrke rekruttering</w:t>
      </w:r>
      <w:r>
        <w:t>s</w:t>
      </w:r>
      <w:r>
        <w:t xml:space="preserve">grunnlaget. Denne kompetanseoppbyggingen i næringen vil bidra til å styrke innovasjonsevnen, læringsprosessene og samspillet med andre fastlandsbaserte næringer. </w:t>
      </w:r>
    </w:p>
    <w:p w:rsidR="00880768" w:rsidRDefault="00880768" w:rsidP="00880768">
      <w:r>
        <w:t>Norges forskningsråd har på oppdrag fra Olje- og energidepartementet utlyst et forskningssenter for lavutslippsteknologi for petroleumsvirksomheten. Målet er å bidra til utvikling av lavutslipps- eller nullutslippsteknologi som muliggjør fremtidig utbygging og drift med lavest mulig utslipp av klimagasser. Senteret vil være i full drift fra 2019.</w:t>
      </w:r>
    </w:p>
    <w:p w:rsidR="00880768" w:rsidRDefault="00880768" w:rsidP="00880768">
      <w:r>
        <w:t>Omstilling til lavutslippssamfunnet krever nye teknologiske løsninger i energisektoren og for CO</w:t>
      </w:r>
      <w:r>
        <w:rPr>
          <w:rStyle w:val="skrift-senket"/>
          <w:sz w:val="21"/>
          <w:szCs w:val="21"/>
        </w:rPr>
        <w:t>2</w:t>
      </w:r>
      <w:r>
        <w:t>-håndtering. Norske forskningsmiljøer kan levere viktige bidrag til denne teknologiutviklingen. Næringsrettet forskning og teknologiutvikling som bidrar til bærekraftige energiløsninger og grønn konkurransekraft er prioritert. Det kreves en helhetlig forsknings- og innovasjonsinnsats og tver</w:t>
      </w:r>
      <w:r>
        <w:t>r</w:t>
      </w:r>
      <w:r>
        <w:t>faglig samarbeid mellom samfunnsvitenskap, humaniora, teknologifagene og naturvitenskapene. Både ENERGIX-programmet og Forskningssentrene for miljøvennlig energi (FME) er sentrale virkemidler for å oppnå dette, så vel som styrket rekruttering til energisektoren.</w:t>
      </w:r>
    </w:p>
    <w:p w:rsidR="00880768" w:rsidRDefault="00880768" w:rsidP="00880768">
      <w:r>
        <w:t>Bevilgningen til Norwep er en viktig del av regjeringens arbeid med å sikre sysselsetting, omsti</w:t>
      </w:r>
      <w:r>
        <w:t>l</w:t>
      </w:r>
      <w:r>
        <w:t>ling og grønn vekst, og skal bidra til at energinæringene hevder seg i internasjonale markeder som er i vekst. Sammenslåingen av tidligere INTSOK (olje og gass) og INTPOW (fornybar) til Norwep har vist seg svært vellykket og gir økt slagkraft for både petroleums- og energinæringene intern</w:t>
      </w:r>
      <w:r>
        <w:t>a</w:t>
      </w:r>
      <w:r>
        <w:t>sjonalt. Målet er å styrke det langsiktige grunnlaget for verdiskaping og sysselsetting i norskbaserte energinæringer gjennom fokusert internasjonal virksomhet.</w:t>
      </w:r>
    </w:p>
    <w:p w:rsidR="00880768" w:rsidRDefault="00880768" w:rsidP="00880768">
      <w:pPr>
        <w:pStyle w:val="Overskrift1"/>
      </w:pPr>
      <w:r>
        <w:t>Oppfølging av anmodnings- og utredningsvedtak</w:t>
      </w:r>
    </w:p>
    <w:p w:rsidR="00880768" w:rsidRDefault="00880768" w:rsidP="00880768">
      <w:r>
        <w:t>Tabell 5.1 nedenfor gir en oversikt over oppfølging av anmodningsvedtak under Olje- og energ</w:t>
      </w:r>
      <w:r>
        <w:t>i</w:t>
      </w:r>
      <w:r>
        <w:t>departementet. Oversikten inkluderer alle vedtak fra stortingssesjonen 2017–2018 og alle vedtak fra tidligere stortingssesjoner hvor rapporteringen ikke ble avsluttet i forbindelse med behandlingen av Prop. 1 S (2017–2018) eller i forbindelse med behandlingen av meldingen til Stortinget om a</w:t>
      </w:r>
      <w:r>
        <w:t>n</w:t>
      </w:r>
      <w:r>
        <w:t>modnings- og utredningsvedtak. I enkelte tilfeller er oppfølgingen av vedtakene mer omfattende beskrevet under det aktuelle programområdet eller andre steder i proposisjonen. Det vil i disse ti</w:t>
      </w:r>
      <w:r>
        <w:t>l</w:t>
      </w:r>
      <w:r>
        <w:t xml:space="preserve">fellene være en henvisning til hvor denne teksten kan finnes. </w:t>
      </w:r>
    </w:p>
    <w:p w:rsidR="00880768" w:rsidRDefault="00880768" w:rsidP="00880768">
      <w:r>
        <w:t>I kolonne 4 i tabell 5.1 angis hvorvidt departementet planlegger at rapporteringen knyttet til a</w:t>
      </w:r>
      <w:r>
        <w:t>n</w:t>
      </w:r>
      <w:r>
        <w:t xml:space="preserve">modningsvedtaket nå avsluttes, eller om departementet vil rapportere konkret på vedtaket også i neste års budsjettproposisjon. Rapportering på vedtak som innebærer at departementet skal legge frem en konkret sak for Stortinget for eksempel en proposisjon, stortingsmelding, utredning eller lignende, vil normalt avsluttes først når saken er lagt frem for Stortinget. </w:t>
      </w:r>
    </w:p>
    <w:p w:rsidR="00880768" w:rsidRDefault="00880768" w:rsidP="00880768">
      <w:r>
        <w:t xml:space="preserve">Selv om det angis at det ikke vil bli rapportert på vedtaket i neste års tabell, vil det i en del tilfeller kunne være slik at oppfølgingen ikke er endelig avsluttet. Dette kan for eksempel gjelde vedtak med anmodning til regjeringen om å ivareta særlige hensyn i politikkutformingen på et område, der oppfølgingen vil kunne gå over mange år. Stortinget vil i disse tilfellene holdes orientert om den </w:t>
      </w:r>
      <w:r>
        <w:lastRenderedPageBreak/>
        <w:t>videre oppfølgingen på ordinært vis, gjennom omtale av det relevante politikkområdet i budsjet</w:t>
      </w:r>
      <w:r>
        <w:t>t</w:t>
      </w:r>
      <w:r>
        <w:t xml:space="preserve">proposisjoner og andre dokumenter. </w:t>
      </w:r>
    </w:p>
    <w:p w:rsidR="00532ECF" w:rsidRDefault="00532ECF" w:rsidP="0063539A">
      <w:pPr>
        <w:pStyle w:val="tabell-tittel"/>
      </w:pPr>
      <w:r>
        <w:rPr>
          <w:sz w:val="21"/>
          <w:szCs w:val="21"/>
        </w:rPr>
        <w:t>Oversikt over anmodnings- og utredningsvedtak, ordnet etter sesjon og nummer</w:t>
      </w:r>
    </w:p>
    <w:p w:rsidR="00880768" w:rsidRDefault="00880768" w:rsidP="00880768">
      <w:pPr>
        <w:pStyle w:val="Tabellnavn"/>
      </w:pPr>
      <w:r>
        <w:t>04J1xt2</w:t>
      </w:r>
    </w:p>
    <w:tbl>
      <w:tblPr>
        <w:tblStyle w:val="StandardTabell"/>
        <w:tblW w:w="0" w:type="auto"/>
        <w:tblLayout w:type="fixed"/>
        <w:tblLook w:val="04A0" w:firstRow="1" w:lastRow="0" w:firstColumn="1" w:lastColumn="0" w:noHBand="0" w:noVBand="1"/>
      </w:tblPr>
      <w:tblGrid>
        <w:gridCol w:w="1340"/>
        <w:gridCol w:w="760"/>
        <w:gridCol w:w="6140"/>
        <w:gridCol w:w="1300"/>
      </w:tblGrid>
      <w:tr w:rsidR="00880768" w:rsidTr="00880768">
        <w:trPr>
          <w:trHeight w:val="860"/>
        </w:trPr>
        <w:tc>
          <w:tcPr>
            <w:tcW w:w="1340" w:type="dxa"/>
          </w:tcPr>
          <w:p w:rsidR="00880768" w:rsidRDefault="00880768" w:rsidP="00880768">
            <w:r>
              <w:t>Sesjon</w:t>
            </w:r>
          </w:p>
        </w:tc>
        <w:tc>
          <w:tcPr>
            <w:tcW w:w="760" w:type="dxa"/>
          </w:tcPr>
          <w:p w:rsidR="00880768" w:rsidRDefault="00880768" w:rsidP="00880768">
            <w:r>
              <w:t>Ve</w:t>
            </w:r>
            <w:r>
              <w:t>d</w:t>
            </w:r>
            <w:r>
              <w:t>tak</w:t>
            </w:r>
          </w:p>
        </w:tc>
        <w:tc>
          <w:tcPr>
            <w:tcW w:w="6140" w:type="dxa"/>
          </w:tcPr>
          <w:p w:rsidR="00880768" w:rsidRDefault="00880768" w:rsidP="00880768">
            <w:r>
              <w:t>Stikkord</w:t>
            </w:r>
          </w:p>
        </w:tc>
        <w:tc>
          <w:tcPr>
            <w:tcW w:w="1300" w:type="dxa"/>
          </w:tcPr>
          <w:p w:rsidR="00880768" w:rsidRDefault="00880768" w:rsidP="00880768">
            <w:r>
              <w:t>Rapport</w:t>
            </w:r>
            <w:r>
              <w:t>e</w:t>
            </w:r>
            <w:r>
              <w:t>ring a</w:t>
            </w:r>
            <w:r>
              <w:t>v</w:t>
            </w:r>
            <w:r>
              <w:t xml:space="preserve">sluttes </w:t>
            </w:r>
            <w:r>
              <w:rPr>
                <w:sz w:val="22"/>
              </w:rPr>
              <w:br/>
            </w:r>
            <w:r>
              <w:t>(Ja/ Nei)</w:t>
            </w:r>
          </w:p>
        </w:tc>
      </w:tr>
      <w:tr w:rsidR="00880768" w:rsidTr="00880768">
        <w:trPr>
          <w:trHeight w:val="380"/>
        </w:trPr>
        <w:tc>
          <w:tcPr>
            <w:tcW w:w="1340" w:type="dxa"/>
          </w:tcPr>
          <w:p w:rsidR="00880768" w:rsidRDefault="00880768" w:rsidP="00880768">
            <w:r>
              <w:t>2017–2018</w:t>
            </w:r>
          </w:p>
        </w:tc>
        <w:tc>
          <w:tcPr>
            <w:tcW w:w="760" w:type="dxa"/>
          </w:tcPr>
          <w:p w:rsidR="00880768" w:rsidRDefault="00880768" w:rsidP="00880768">
            <w:r>
              <w:t>39</w:t>
            </w:r>
          </w:p>
        </w:tc>
        <w:tc>
          <w:tcPr>
            <w:tcW w:w="6140" w:type="dxa"/>
          </w:tcPr>
          <w:p w:rsidR="00880768" w:rsidRDefault="00880768" w:rsidP="00880768">
            <w:r>
              <w:t>Videreføring av fullskala CO</w:t>
            </w:r>
            <w:r>
              <w:rPr>
                <w:rStyle w:val="skrift-senket"/>
                <w:sz w:val="21"/>
                <w:szCs w:val="21"/>
              </w:rPr>
              <w:t>2</w:t>
            </w:r>
            <w:r>
              <w:t xml:space="preserve">-håndtering </w:t>
            </w:r>
          </w:p>
        </w:tc>
        <w:tc>
          <w:tcPr>
            <w:tcW w:w="1300" w:type="dxa"/>
          </w:tcPr>
          <w:p w:rsidR="00880768" w:rsidRDefault="00880768" w:rsidP="00880768">
            <w:r>
              <w:t>Ja</w:t>
            </w:r>
          </w:p>
        </w:tc>
      </w:tr>
      <w:tr w:rsidR="00880768" w:rsidTr="00880768">
        <w:trPr>
          <w:trHeight w:val="640"/>
        </w:trPr>
        <w:tc>
          <w:tcPr>
            <w:tcW w:w="1340" w:type="dxa"/>
          </w:tcPr>
          <w:p w:rsidR="00880768" w:rsidRDefault="00880768" w:rsidP="00880768">
            <w:r>
              <w:t>2017–2018</w:t>
            </w:r>
          </w:p>
        </w:tc>
        <w:tc>
          <w:tcPr>
            <w:tcW w:w="760" w:type="dxa"/>
          </w:tcPr>
          <w:p w:rsidR="00880768" w:rsidRDefault="00880768" w:rsidP="00880768">
            <w:r>
              <w:t>245</w:t>
            </w:r>
          </w:p>
        </w:tc>
        <w:tc>
          <w:tcPr>
            <w:tcW w:w="6140" w:type="dxa"/>
          </w:tcPr>
          <w:p w:rsidR="00880768" w:rsidRDefault="00880768" w:rsidP="00880768">
            <w:r>
              <w:t>Fornybar energiproduksjon til havs – demonstrasjonsprosjekt for flytende vindkraft</w:t>
            </w:r>
          </w:p>
        </w:tc>
        <w:tc>
          <w:tcPr>
            <w:tcW w:w="1300" w:type="dxa"/>
          </w:tcPr>
          <w:p w:rsidR="00880768" w:rsidRDefault="00880768" w:rsidP="00880768">
            <w:r>
              <w:t>Nei</w:t>
            </w:r>
          </w:p>
        </w:tc>
      </w:tr>
      <w:tr w:rsidR="00880768" w:rsidTr="00880768">
        <w:trPr>
          <w:trHeight w:val="380"/>
        </w:trPr>
        <w:tc>
          <w:tcPr>
            <w:tcW w:w="1340" w:type="dxa"/>
          </w:tcPr>
          <w:p w:rsidR="00880768" w:rsidRDefault="00880768" w:rsidP="00880768">
            <w:r>
              <w:t>2017–2018</w:t>
            </w:r>
          </w:p>
        </w:tc>
        <w:tc>
          <w:tcPr>
            <w:tcW w:w="760" w:type="dxa"/>
          </w:tcPr>
          <w:p w:rsidR="00880768" w:rsidRDefault="00880768" w:rsidP="00880768">
            <w:r>
              <w:t>550</w:t>
            </w:r>
          </w:p>
        </w:tc>
        <w:tc>
          <w:tcPr>
            <w:tcW w:w="6140" w:type="dxa"/>
          </w:tcPr>
          <w:p w:rsidR="00880768" w:rsidRDefault="00880768" w:rsidP="00880768">
            <w:r>
              <w:t>Modeller for utjevning av nettariffene</w:t>
            </w:r>
          </w:p>
        </w:tc>
        <w:tc>
          <w:tcPr>
            <w:tcW w:w="1300" w:type="dxa"/>
          </w:tcPr>
          <w:p w:rsidR="00880768" w:rsidRDefault="00880768" w:rsidP="00880768">
            <w:r>
              <w:t>Ja</w:t>
            </w:r>
          </w:p>
        </w:tc>
      </w:tr>
      <w:tr w:rsidR="00880768" w:rsidTr="00880768">
        <w:trPr>
          <w:trHeight w:val="380"/>
        </w:trPr>
        <w:tc>
          <w:tcPr>
            <w:tcW w:w="1340" w:type="dxa"/>
          </w:tcPr>
          <w:p w:rsidR="00880768" w:rsidRDefault="00880768" w:rsidP="00880768">
            <w:r>
              <w:t>2017–2018</w:t>
            </w:r>
          </w:p>
        </w:tc>
        <w:tc>
          <w:tcPr>
            <w:tcW w:w="760" w:type="dxa"/>
          </w:tcPr>
          <w:p w:rsidR="00880768" w:rsidRDefault="00880768" w:rsidP="00880768">
            <w:r>
              <w:t>551</w:t>
            </w:r>
          </w:p>
        </w:tc>
        <w:tc>
          <w:tcPr>
            <w:tcW w:w="6140" w:type="dxa"/>
          </w:tcPr>
          <w:p w:rsidR="00880768" w:rsidRDefault="00880768" w:rsidP="00880768">
            <w:r>
              <w:t>Funksjonelt skille – fritak for mindre nettselskap</w:t>
            </w:r>
          </w:p>
        </w:tc>
        <w:tc>
          <w:tcPr>
            <w:tcW w:w="1300" w:type="dxa"/>
          </w:tcPr>
          <w:p w:rsidR="00880768" w:rsidRDefault="00880768" w:rsidP="00880768">
            <w:r>
              <w:t>Nei</w:t>
            </w:r>
          </w:p>
        </w:tc>
      </w:tr>
      <w:tr w:rsidR="00880768" w:rsidTr="00880768">
        <w:trPr>
          <w:trHeight w:val="640"/>
        </w:trPr>
        <w:tc>
          <w:tcPr>
            <w:tcW w:w="1340" w:type="dxa"/>
          </w:tcPr>
          <w:p w:rsidR="00880768" w:rsidRDefault="00880768" w:rsidP="00880768">
            <w:r>
              <w:t>2017–2018</w:t>
            </w:r>
          </w:p>
        </w:tc>
        <w:tc>
          <w:tcPr>
            <w:tcW w:w="760" w:type="dxa"/>
          </w:tcPr>
          <w:p w:rsidR="00880768" w:rsidRDefault="00880768" w:rsidP="00880768">
            <w:r>
              <w:t>552</w:t>
            </w:r>
          </w:p>
        </w:tc>
        <w:tc>
          <w:tcPr>
            <w:tcW w:w="6140" w:type="dxa"/>
          </w:tcPr>
          <w:p w:rsidR="00880768" w:rsidRDefault="00880768" w:rsidP="00880768">
            <w:r>
              <w:t>Funksjonelt skille – unntak for selskaper som drifter flere naturlige monopol i samme selskap</w:t>
            </w:r>
          </w:p>
        </w:tc>
        <w:tc>
          <w:tcPr>
            <w:tcW w:w="1300" w:type="dxa"/>
          </w:tcPr>
          <w:p w:rsidR="00880768" w:rsidRDefault="00880768" w:rsidP="00880768">
            <w:r>
              <w:t>Nei</w:t>
            </w:r>
          </w:p>
        </w:tc>
      </w:tr>
      <w:tr w:rsidR="00880768" w:rsidTr="00880768">
        <w:trPr>
          <w:trHeight w:val="640"/>
        </w:trPr>
        <w:tc>
          <w:tcPr>
            <w:tcW w:w="1340" w:type="dxa"/>
          </w:tcPr>
          <w:p w:rsidR="00880768" w:rsidRDefault="00880768" w:rsidP="00880768">
            <w:r>
              <w:t>2017–2018</w:t>
            </w:r>
          </w:p>
        </w:tc>
        <w:tc>
          <w:tcPr>
            <w:tcW w:w="760" w:type="dxa"/>
          </w:tcPr>
          <w:p w:rsidR="00880768" w:rsidRDefault="00880768" w:rsidP="00880768">
            <w:r>
              <w:t>570</w:t>
            </w:r>
          </w:p>
        </w:tc>
        <w:tc>
          <w:tcPr>
            <w:tcW w:w="6140" w:type="dxa"/>
          </w:tcPr>
          <w:p w:rsidR="00880768" w:rsidRDefault="00880768" w:rsidP="00880768">
            <w:r>
              <w:t>Endringer i energiloven – konsesjon for å eie/drive ute</w:t>
            </w:r>
            <w:r>
              <w:t>n</w:t>
            </w:r>
            <w:r>
              <w:t>landsforbindelser</w:t>
            </w:r>
          </w:p>
        </w:tc>
        <w:tc>
          <w:tcPr>
            <w:tcW w:w="1300" w:type="dxa"/>
          </w:tcPr>
          <w:p w:rsidR="00880768" w:rsidRDefault="00880768" w:rsidP="00880768">
            <w:r>
              <w:t>Nei</w:t>
            </w:r>
          </w:p>
        </w:tc>
      </w:tr>
      <w:tr w:rsidR="00880768" w:rsidTr="00880768">
        <w:trPr>
          <w:trHeight w:val="380"/>
        </w:trPr>
        <w:tc>
          <w:tcPr>
            <w:tcW w:w="1340" w:type="dxa"/>
          </w:tcPr>
          <w:p w:rsidR="00880768" w:rsidRDefault="00880768" w:rsidP="00880768">
            <w:r>
              <w:t>2017–2018</w:t>
            </w:r>
          </w:p>
        </w:tc>
        <w:tc>
          <w:tcPr>
            <w:tcW w:w="760" w:type="dxa"/>
          </w:tcPr>
          <w:p w:rsidR="00880768" w:rsidRDefault="00880768" w:rsidP="00880768">
            <w:r>
              <w:t>610</w:t>
            </w:r>
          </w:p>
        </w:tc>
        <w:tc>
          <w:tcPr>
            <w:tcW w:w="6140" w:type="dxa"/>
          </w:tcPr>
          <w:p w:rsidR="00880768" w:rsidRDefault="00880768" w:rsidP="00880768">
            <w:r>
              <w:t>Flom- og rassikring – kartlegge utsatte, bebygde områder</w:t>
            </w:r>
          </w:p>
        </w:tc>
        <w:tc>
          <w:tcPr>
            <w:tcW w:w="1300" w:type="dxa"/>
          </w:tcPr>
          <w:p w:rsidR="00880768" w:rsidRDefault="00880768" w:rsidP="00880768">
            <w:r>
              <w:t>Ja</w:t>
            </w:r>
          </w:p>
        </w:tc>
      </w:tr>
      <w:tr w:rsidR="00880768" w:rsidTr="00880768">
        <w:trPr>
          <w:trHeight w:val="640"/>
        </w:trPr>
        <w:tc>
          <w:tcPr>
            <w:tcW w:w="1340" w:type="dxa"/>
          </w:tcPr>
          <w:p w:rsidR="00880768" w:rsidRDefault="00880768" w:rsidP="00880768">
            <w:r>
              <w:t>2017–2018</w:t>
            </w:r>
          </w:p>
        </w:tc>
        <w:tc>
          <w:tcPr>
            <w:tcW w:w="760" w:type="dxa"/>
          </w:tcPr>
          <w:p w:rsidR="00880768" w:rsidRDefault="00880768" w:rsidP="00880768">
            <w:r>
              <w:t>665</w:t>
            </w:r>
          </w:p>
        </w:tc>
        <w:tc>
          <w:tcPr>
            <w:tcW w:w="6140" w:type="dxa"/>
          </w:tcPr>
          <w:p w:rsidR="00880768" w:rsidRDefault="00880768" w:rsidP="00880768">
            <w:r>
              <w:t>Strategi for forskning, teknologiutvikling og bruk av hydr</w:t>
            </w:r>
            <w:r>
              <w:t>o</w:t>
            </w:r>
            <w:r>
              <w:t>gen som energibærer</w:t>
            </w:r>
          </w:p>
        </w:tc>
        <w:tc>
          <w:tcPr>
            <w:tcW w:w="1300" w:type="dxa"/>
          </w:tcPr>
          <w:p w:rsidR="00880768" w:rsidRDefault="00880768" w:rsidP="00880768">
            <w:r>
              <w:t>Nei</w:t>
            </w:r>
          </w:p>
        </w:tc>
      </w:tr>
      <w:tr w:rsidR="00880768" w:rsidTr="00880768">
        <w:trPr>
          <w:trHeight w:val="380"/>
        </w:trPr>
        <w:tc>
          <w:tcPr>
            <w:tcW w:w="1340" w:type="dxa"/>
          </w:tcPr>
          <w:p w:rsidR="00880768" w:rsidRDefault="00880768" w:rsidP="00880768">
            <w:r>
              <w:t>2017–2018</w:t>
            </w:r>
          </w:p>
        </w:tc>
        <w:tc>
          <w:tcPr>
            <w:tcW w:w="760" w:type="dxa"/>
          </w:tcPr>
          <w:p w:rsidR="00880768" w:rsidRDefault="00880768" w:rsidP="00880768">
            <w:r>
              <w:t>666</w:t>
            </w:r>
          </w:p>
        </w:tc>
        <w:tc>
          <w:tcPr>
            <w:tcW w:w="6140" w:type="dxa"/>
          </w:tcPr>
          <w:p w:rsidR="00880768" w:rsidRDefault="00880768" w:rsidP="00880768">
            <w:r>
              <w:t>Felles nordisk hydrogenstrategi</w:t>
            </w:r>
          </w:p>
        </w:tc>
        <w:tc>
          <w:tcPr>
            <w:tcW w:w="1300" w:type="dxa"/>
          </w:tcPr>
          <w:p w:rsidR="00880768" w:rsidRDefault="00880768" w:rsidP="00880768">
            <w:r>
              <w:t>Nei</w:t>
            </w:r>
          </w:p>
        </w:tc>
      </w:tr>
      <w:tr w:rsidR="00880768" w:rsidTr="00880768">
        <w:trPr>
          <w:trHeight w:val="640"/>
        </w:trPr>
        <w:tc>
          <w:tcPr>
            <w:tcW w:w="1340" w:type="dxa"/>
          </w:tcPr>
          <w:p w:rsidR="00880768" w:rsidRDefault="00880768" w:rsidP="00880768">
            <w:r>
              <w:t>2017–2018</w:t>
            </w:r>
          </w:p>
        </w:tc>
        <w:tc>
          <w:tcPr>
            <w:tcW w:w="760" w:type="dxa"/>
          </w:tcPr>
          <w:p w:rsidR="00880768" w:rsidRDefault="00880768" w:rsidP="00880768">
            <w:r>
              <w:t>669</w:t>
            </w:r>
          </w:p>
        </w:tc>
        <w:tc>
          <w:tcPr>
            <w:tcW w:w="6140" w:type="dxa"/>
          </w:tcPr>
          <w:p w:rsidR="00880768" w:rsidRDefault="00880768" w:rsidP="00880768">
            <w:r>
              <w:t>Gjennomgå virkemidler for kombinert oppvarming og strømforsyning i landbruket</w:t>
            </w:r>
          </w:p>
        </w:tc>
        <w:tc>
          <w:tcPr>
            <w:tcW w:w="1300" w:type="dxa"/>
          </w:tcPr>
          <w:p w:rsidR="00880768" w:rsidRDefault="00880768" w:rsidP="00880768">
            <w:r>
              <w:t>Nei</w:t>
            </w:r>
          </w:p>
        </w:tc>
      </w:tr>
      <w:tr w:rsidR="00880768" w:rsidTr="00880768">
        <w:trPr>
          <w:trHeight w:val="640"/>
        </w:trPr>
        <w:tc>
          <w:tcPr>
            <w:tcW w:w="1340" w:type="dxa"/>
          </w:tcPr>
          <w:p w:rsidR="00880768" w:rsidRDefault="00880768" w:rsidP="00880768">
            <w:r>
              <w:t>2017–2018</w:t>
            </w:r>
          </w:p>
        </w:tc>
        <w:tc>
          <w:tcPr>
            <w:tcW w:w="760" w:type="dxa"/>
          </w:tcPr>
          <w:p w:rsidR="00880768" w:rsidRDefault="00880768" w:rsidP="00880768">
            <w:r>
              <w:t>673</w:t>
            </w:r>
          </w:p>
        </w:tc>
        <w:tc>
          <w:tcPr>
            <w:tcW w:w="6140" w:type="dxa"/>
          </w:tcPr>
          <w:p w:rsidR="00880768" w:rsidRDefault="00880768" w:rsidP="00880768">
            <w:r>
              <w:t xml:space="preserve">Internasjonal standard og strategi for landstrøm og ladestrøm </w:t>
            </w:r>
            <w:r>
              <w:rPr>
                <w:sz w:val="22"/>
              </w:rPr>
              <w:br/>
            </w:r>
            <w:r>
              <w:t>i norske havner</w:t>
            </w:r>
          </w:p>
        </w:tc>
        <w:tc>
          <w:tcPr>
            <w:tcW w:w="1300" w:type="dxa"/>
          </w:tcPr>
          <w:p w:rsidR="00880768" w:rsidRDefault="00880768" w:rsidP="00880768">
            <w:r>
              <w:t>Nei</w:t>
            </w:r>
          </w:p>
        </w:tc>
      </w:tr>
      <w:tr w:rsidR="00880768" w:rsidTr="00880768">
        <w:trPr>
          <w:trHeight w:val="380"/>
        </w:trPr>
        <w:tc>
          <w:tcPr>
            <w:tcW w:w="1340" w:type="dxa"/>
          </w:tcPr>
          <w:p w:rsidR="00880768" w:rsidRDefault="00880768" w:rsidP="00880768">
            <w:r>
              <w:t>2017–2018</w:t>
            </w:r>
          </w:p>
        </w:tc>
        <w:tc>
          <w:tcPr>
            <w:tcW w:w="760" w:type="dxa"/>
          </w:tcPr>
          <w:p w:rsidR="00880768" w:rsidRDefault="00880768" w:rsidP="00880768">
            <w:r>
              <w:t>824</w:t>
            </w:r>
          </w:p>
        </w:tc>
        <w:tc>
          <w:tcPr>
            <w:tcW w:w="6140" w:type="dxa"/>
          </w:tcPr>
          <w:p w:rsidR="00880768" w:rsidRDefault="00880768" w:rsidP="00880768">
            <w:r>
              <w:t>Regelverk for åpning og tildeling av konsesjoner for havvind</w:t>
            </w:r>
          </w:p>
        </w:tc>
        <w:tc>
          <w:tcPr>
            <w:tcW w:w="1300" w:type="dxa"/>
          </w:tcPr>
          <w:p w:rsidR="00880768" w:rsidRDefault="00880768" w:rsidP="00880768">
            <w:r>
              <w:t>Nei</w:t>
            </w:r>
          </w:p>
        </w:tc>
      </w:tr>
      <w:tr w:rsidR="00880768" w:rsidTr="00880768">
        <w:trPr>
          <w:trHeight w:val="640"/>
        </w:trPr>
        <w:tc>
          <w:tcPr>
            <w:tcW w:w="1340" w:type="dxa"/>
          </w:tcPr>
          <w:p w:rsidR="00880768" w:rsidRDefault="00880768" w:rsidP="00880768">
            <w:r>
              <w:t>2017–2018</w:t>
            </w:r>
          </w:p>
        </w:tc>
        <w:tc>
          <w:tcPr>
            <w:tcW w:w="760" w:type="dxa"/>
          </w:tcPr>
          <w:p w:rsidR="00880768" w:rsidRDefault="00880768" w:rsidP="00880768">
            <w:r>
              <w:t>825</w:t>
            </w:r>
          </w:p>
        </w:tc>
        <w:tc>
          <w:tcPr>
            <w:tcW w:w="6140" w:type="dxa"/>
          </w:tcPr>
          <w:p w:rsidR="00880768" w:rsidRDefault="00880768" w:rsidP="00880768">
            <w:r>
              <w:t xml:space="preserve">Internasjonale erfaringer og relevante modeller for støtte til </w:t>
            </w:r>
            <w:r>
              <w:rPr>
                <w:sz w:val="22"/>
              </w:rPr>
              <w:br/>
            </w:r>
            <w:r>
              <w:t xml:space="preserve">havvindkraft i tidligfase </w:t>
            </w:r>
          </w:p>
        </w:tc>
        <w:tc>
          <w:tcPr>
            <w:tcW w:w="1300" w:type="dxa"/>
          </w:tcPr>
          <w:p w:rsidR="00880768" w:rsidRDefault="00880768" w:rsidP="00880768">
            <w:r>
              <w:t>Nei</w:t>
            </w:r>
          </w:p>
        </w:tc>
      </w:tr>
      <w:tr w:rsidR="00880768" w:rsidTr="00880768">
        <w:trPr>
          <w:trHeight w:val="380"/>
        </w:trPr>
        <w:tc>
          <w:tcPr>
            <w:tcW w:w="1340" w:type="dxa"/>
          </w:tcPr>
          <w:p w:rsidR="00880768" w:rsidRDefault="00880768" w:rsidP="00880768">
            <w:r>
              <w:t>2017–2018</w:t>
            </w:r>
          </w:p>
        </w:tc>
        <w:tc>
          <w:tcPr>
            <w:tcW w:w="760" w:type="dxa"/>
          </w:tcPr>
          <w:p w:rsidR="00880768" w:rsidRDefault="00880768" w:rsidP="00880768">
            <w:r>
              <w:t>890</w:t>
            </w:r>
          </w:p>
        </w:tc>
        <w:tc>
          <w:tcPr>
            <w:tcW w:w="6140" w:type="dxa"/>
          </w:tcPr>
          <w:p w:rsidR="00880768" w:rsidRDefault="00880768" w:rsidP="00880768">
            <w:r>
              <w:t>Ilandføringsterminal for olje på Veidnes i Finnmark</w:t>
            </w:r>
          </w:p>
        </w:tc>
        <w:tc>
          <w:tcPr>
            <w:tcW w:w="1300" w:type="dxa"/>
          </w:tcPr>
          <w:p w:rsidR="00880768" w:rsidRDefault="00880768" w:rsidP="00880768">
            <w:r>
              <w:t>Nei</w:t>
            </w:r>
          </w:p>
        </w:tc>
      </w:tr>
      <w:tr w:rsidR="00880768" w:rsidTr="00880768">
        <w:trPr>
          <w:trHeight w:val="380"/>
        </w:trPr>
        <w:tc>
          <w:tcPr>
            <w:tcW w:w="1340" w:type="dxa"/>
          </w:tcPr>
          <w:p w:rsidR="00880768" w:rsidRDefault="00880768" w:rsidP="00880768">
            <w:r>
              <w:t>2017–2018</w:t>
            </w:r>
          </w:p>
        </w:tc>
        <w:tc>
          <w:tcPr>
            <w:tcW w:w="760" w:type="dxa"/>
          </w:tcPr>
          <w:p w:rsidR="00880768" w:rsidRDefault="00880768" w:rsidP="00880768">
            <w:r>
              <w:t>891</w:t>
            </w:r>
          </w:p>
        </w:tc>
        <w:tc>
          <w:tcPr>
            <w:tcW w:w="6140" w:type="dxa"/>
          </w:tcPr>
          <w:p w:rsidR="00880768" w:rsidRDefault="00880768" w:rsidP="00880768">
            <w:r>
              <w:t>Utredning av omlastingsløsninger for olje på Veidnes i Finnmark</w:t>
            </w:r>
          </w:p>
        </w:tc>
        <w:tc>
          <w:tcPr>
            <w:tcW w:w="1300" w:type="dxa"/>
          </w:tcPr>
          <w:p w:rsidR="00880768" w:rsidRDefault="00880768" w:rsidP="00880768">
            <w:r>
              <w:t>Nei</w:t>
            </w:r>
          </w:p>
        </w:tc>
      </w:tr>
      <w:tr w:rsidR="00880768" w:rsidTr="00880768">
        <w:trPr>
          <w:trHeight w:val="380"/>
        </w:trPr>
        <w:tc>
          <w:tcPr>
            <w:tcW w:w="1340" w:type="dxa"/>
          </w:tcPr>
          <w:p w:rsidR="00880768" w:rsidRDefault="00880768" w:rsidP="00880768">
            <w:r>
              <w:t>2017–2018</w:t>
            </w:r>
          </w:p>
        </w:tc>
        <w:tc>
          <w:tcPr>
            <w:tcW w:w="760" w:type="dxa"/>
          </w:tcPr>
          <w:p w:rsidR="00880768" w:rsidRDefault="00880768" w:rsidP="00880768">
            <w:r>
              <w:t>1007</w:t>
            </w:r>
          </w:p>
        </w:tc>
        <w:tc>
          <w:tcPr>
            <w:tcW w:w="6140" w:type="dxa"/>
          </w:tcPr>
          <w:p w:rsidR="00880768" w:rsidRDefault="00880768" w:rsidP="00880768">
            <w:r>
              <w:t>Forprosjektering og finansiering av fullskala CO</w:t>
            </w:r>
            <w:r>
              <w:rPr>
                <w:rStyle w:val="skrift-senket"/>
                <w:sz w:val="21"/>
                <w:szCs w:val="21"/>
              </w:rPr>
              <w:t>2</w:t>
            </w:r>
            <w:r>
              <w:t>-håndtering</w:t>
            </w:r>
          </w:p>
        </w:tc>
        <w:tc>
          <w:tcPr>
            <w:tcW w:w="1300" w:type="dxa"/>
          </w:tcPr>
          <w:p w:rsidR="00880768" w:rsidRDefault="00880768" w:rsidP="00880768">
            <w:r>
              <w:t>Nei</w:t>
            </w:r>
          </w:p>
        </w:tc>
      </w:tr>
      <w:tr w:rsidR="00880768" w:rsidTr="00880768">
        <w:trPr>
          <w:trHeight w:val="380"/>
        </w:trPr>
        <w:tc>
          <w:tcPr>
            <w:tcW w:w="1340" w:type="dxa"/>
          </w:tcPr>
          <w:p w:rsidR="00880768" w:rsidRDefault="00880768" w:rsidP="00880768">
            <w:r>
              <w:t>2016–2017</w:t>
            </w:r>
          </w:p>
        </w:tc>
        <w:tc>
          <w:tcPr>
            <w:tcW w:w="760" w:type="dxa"/>
          </w:tcPr>
          <w:p w:rsidR="00880768" w:rsidRDefault="00880768" w:rsidP="00880768">
            <w:r>
              <w:t>714</w:t>
            </w:r>
          </w:p>
        </w:tc>
        <w:tc>
          <w:tcPr>
            <w:tcW w:w="6140" w:type="dxa"/>
          </w:tcPr>
          <w:p w:rsidR="00880768" w:rsidRDefault="00880768" w:rsidP="00880768">
            <w:r>
              <w:t>Plan for 10 TWh energisparing i bygg innen 2030</w:t>
            </w:r>
          </w:p>
        </w:tc>
        <w:tc>
          <w:tcPr>
            <w:tcW w:w="1300" w:type="dxa"/>
          </w:tcPr>
          <w:p w:rsidR="00880768" w:rsidRDefault="00880768" w:rsidP="00880768">
            <w:r>
              <w:t>Nei</w:t>
            </w:r>
          </w:p>
        </w:tc>
      </w:tr>
      <w:tr w:rsidR="00880768" w:rsidTr="00880768">
        <w:trPr>
          <w:trHeight w:val="640"/>
        </w:trPr>
        <w:tc>
          <w:tcPr>
            <w:tcW w:w="1340" w:type="dxa"/>
          </w:tcPr>
          <w:p w:rsidR="00880768" w:rsidRDefault="00880768" w:rsidP="00880768">
            <w:r>
              <w:t>2016–2017</w:t>
            </w:r>
          </w:p>
        </w:tc>
        <w:tc>
          <w:tcPr>
            <w:tcW w:w="760" w:type="dxa"/>
          </w:tcPr>
          <w:p w:rsidR="00880768" w:rsidRDefault="00880768" w:rsidP="00880768">
            <w:r>
              <w:t>765</w:t>
            </w:r>
          </w:p>
        </w:tc>
        <w:tc>
          <w:tcPr>
            <w:tcW w:w="6140" w:type="dxa"/>
          </w:tcPr>
          <w:p w:rsidR="00880768" w:rsidRDefault="00880768" w:rsidP="00880768">
            <w:r>
              <w:t xml:space="preserve">Konkurransesituasjonen på norsk sokkel – </w:t>
            </w:r>
            <w:r>
              <w:rPr>
                <w:sz w:val="22"/>
              </w:rPr>
              <w:br/>
            </w:r>
            <w:r>
              <w:t>norsk leverandørindustri</w:t>
            </w:r>
          </w:p>
        </w:tc>
        <w:tc>
          <w:tcPr>
            <w:tcW w:w="1300" w:type="dxa"/>
          </w:tcPr>
          <w:p w:rsidR="00880768" w:rsidRDefault="00880768" w:rsidP="00880768">
            <w:r>
              <w:t>Ja</w:t>
            </w:r>
          </w:p>
        </w:tc>
      </w:tr>
      <w:tr w:rsidR="00880768" w:rsidTr="00880768">
        <w:trPr>
          <w:trHeight w:val="380"/>
        </w:trPr>
        <w:tc>
          <w:tcPr>
            <w:tcW w:w="1340" w:type="dxa"/>
          </w:tcPr>
          <w:p w:rsidR="00880768" w:rsidRDefault="00880768" w:rsidP="00880768">
            <w:r>
              <w:t>2016–2017</w:t>
            </w:r>
          </w:p>
        </w:tc>
        <w:tc>
          <w:tcPr>
            <w:tcW w:w="760" w:type="dxa"/>
          </w:tcPr>
          <w:p w:rsidR="00880768" w:rsidRDefault="00880768" w:rsidP="00880768">
            <w:r>
              <w:t>953</w:t>
            </w:r>
          </w:p>
        </w:tc>
        <w:tc>
          <w:tcPr>
            <w:tcW w:w="6140" w:type="dxa"/>
          </w:tcPr>
          <w:p w:rsidR="00880768" w:rsidRDefault="00880768" w:rsidP="00880768">
            <w:r>
              <w:t>Industristrategi for hydrogen</w:t>
            </w:r>
          </w:p>
        </w:tc>
        <w:tc>
          <w:tcPr>
            <w:tcW w:w="1300" w:type="dxa"/>
          </w:tcPr>
          <w:p w:rsidR="00880768" w:rsidRDefault="00880768" w:rsidP="00880768">
            <w:r>
              <w:t>Nei</w:t>
            </w:r>
          </w:p>
        </w:tc>
      </w:tr>
      <w:tr w:rsidR="00880768" w:rsidTr="00880768">
        <w:trPr>
          <w:trHeight w:val="380"/>
        </w:trPr>
        <w:tc>
          <w:tcPr>
            <w:tcW w:w="1340" w:type="dxa"/>
          </w:tcPr>
          <w:p w:rsidR="00880768" w:rsidRDefault="00880768" w:rsidP="00880768">
            <w:r>
              <w:t>2015–2016</w:t>
            </w:r>
          </w:p>
        </w:tc>
        <w:tc>
          <w:tcPr>
            <w:tcW w:w="760" w:type="dxa"/>
          </w:tcPr>
          <w:p w:rsidR="00880768" w:rsidRDefault="00880768" w:rsidP="00880768">
            <w:r>
              <w:t>685</w:t>
            </w:r>
          </w:p>
        </w:tc>
        <w:tc>
          <w:tcPr>
            <w:tcW w:w="6140" w:type="dxa"/>
          </w:tcPr>
          <w:p w:rsidR="00880768" w:rsidRDefault="00880768" w:rsidP="00880768">
            <w:r>
              <w:t>Fullskala CO</w:t>
            </w:r>
            <w:r>
              <w:rPr>
                <w:rStyle w:val="skrift-senket"/>
                <w:sz w:val="21"/>
                <w:szCs w:val="21"/>
              </w:rPr>
              <w:t>2</w:t>
            </w:r>
            <w:r>
              <w:t>-håndtering</w:t>
            </w:r>
          </w:p>
        </w:tc>
        <w:tc>
          <w:tcPr>
            <w:tcW w:w="1300" w:type="dxa"/>
          </w:tcPr>
          <w:p w:rsidR="00880768" w:rsidRDefault="00880768" w:rsidP="00880768">
            <w:r>
              <w:t>Ja</w:t>
            </w:r>
          </w:p>
        </w:tc>
      </w:tr>
      <w:tr w:rsidR="00880768" w:rsidTr="00880768">
        <w:trPr>
          <w:trHeight w:val="380"/>
        </w:trPr>
        <w:tc>
          <w:tcPr>
            <w:tcW w:w="1340" w:type="dxa"/>
          </w:tcPr>
          <w:p w:rsidR="00880768" w:rsidRDefault="00880768" w:rsidP="00880768">
            <w:r>
              <w:t>2014–2015</w:t>
            </w:r>
          </w:p>
        </w:tc>
        <w:tc>
          <w:tcPr>
            <w:tcW w:w="760" w:type="dxa"/>
          </w:tcPr>
          <w:p w:rsidR="00880768" w:rsidRDefault="00880768" w:rsidP="00880768">
            <w:r>
              <w:t>455</w:t>
            </w:r>
          </w:p>
        </w:tc>
        <w:tc>
          <w:tcPr>
            <w:tcW w:w="6140" w:type="dxa"/>
          </w:tcPr>
          <w:p w:rsidR="00880768" w:rsidRDefault="00880768" w:rsidP="00880768">
            <w:r>
              <w:t>Virkemidler for å fase ut fossil olje i fjernvarme</w:t>
            </w:r>
          </w:p>
        </w:tc>
        <w:tc>
          <w:tcPr>
            <w:tcW w:w="1300" w:type="dxa"/>
          </w:tcPr>
          <w:p w:rsidR="00880768" w:rsidRDefault="00880768" w:rsidP="00880768">
            <w:r>
              <w:t>Nei</w:t>
            </w:r>
          </w:p>
        </w:tc>
      </w:tr>
    </w:tbl>
    <w:p w:rsidR="00880768" w:rsidRDefault="00880768" w:rsidP="00880768">
      <w:pPr>
        <w:pStyle w:val="Tabellnavn"/>
      </w:pPr>
    </w:p>
    <w:p w:rsidR="00880768" w:rsidRDefault="00880768" w:rsidP="00B52901">
      <w:pPr>
        <w:pStyle w:val="Overskrift2"/>
      </w:pPr>
      <w:r>
        <w:t>Stortingssesjon 2017–2018</w:t>
      </w:r>
    </w:p>
    <w:p w:rsidR="00880768" w:rsidRDefault="00880768" w:rsidP="00880768">
      <w:pPr>
        <w:pStyle w:val="avsnitt-tittel"/>
      </w:pPr>
      <w:r>
        <w:t>Videreføring av fullskala CO</w:t>
      </w:r>
      <w:r>
        <w:rPr>
          <w:rStyle w:val="skrift-senket"/>
          <w:sz w:val="21"/>
          <w:szCs w:val="21"/>
        </w:rPr>
        <w:t>2</w:t>
      </w:r>
      <w:r>
        <w:t xml:space="preserve">-håndtering </w:t>
      </w:r>
    </w:p>
    <w:p w:rsidR="00880768" w:rsidRDefault="00880768" w:rsidP="00880768">
      <w:pPr>
        <w:pStyle w:val="avsnitt-undertittel"/>
      </w:pPr>
      <w:r>
        <w:t>Vedtak nr. 39, 4. desember 2017</w:t>
      </w:r>
    </w:p>
    <w:p w:rsidR="00880768" w:rsidRDefault="00880768" w:rsidP="00880768">
      <w:pPr>
        <w:pStyle w:val="blokksit"/>
      </w:pPr>
      <w:r>
        <w:rPr>
          <w:rStyle w:val="kursiv"/>
          <w:sz w:val="21"/>
          <w:szCs w:val="21"/>
        </w:rPr>
        <w:t>«Stortinget ber regjeringen sikre videreføring av Gassnovas arbeid med fullskala CO</w:t>
      </w:r>
      <w:r>
        <w:rPr>
          <w:rStyle w:val="skrift-senket"/>
          <w:i/>
          <w:iCs/>
          <w:sz w:val="21"/>
          <w:szCs w:val="21"/>
        </w:rPr>
        <w:t>2</w:t>
      </w:r>
      <w:r>
        <w:rPr>
          <w:rStyle w:val="kursiv"/>
          <w:sz w:val="21"/>
          <w:szCs w:val="21"/>
        </w:rPr>
        <w:t>-håndtering slik at in</w:t>
      </w:r>
      <w:r>
        <w:rPr>
          <w:rStyle w:val="kursiv"/>
          <w:sz w:val="21"/>
          <w:szCs w:val="21"/>
        </w:rPr>
        <w:t>n</w:t>
      </w:r>
      <w:r>
        <w:rPr>
          <w:rStyle w:val="kursiv"/>
          <w:sz w:val="21"/>
          <w:szCs w:val="21"/>
        </w:rPr>
        <w:t>gåtte kontrakter med fangst- og lageraktørene ikke termineres fra statens side før Stortinget har behandlet r</w:t>
      </w:r>
      <w:r>
        <w:rPr>
          <w:rStyle w:val="kursiv"/>
          <w:sz w:val="21"/>
          <w:szCs w:val="21"/>
        </w:rPr>
        <w:t>e</w:t>
      </w:r>
      <w:r>
        <w:rPr>
          <w:rStyle w:val="kursiv"/>
          <w:sz w:val="21"/>
          <w:szCs w:val="21"/>
        </w:rPr>
        <w:t>gjeringens helhetlige fremlegg om arbeidet med fullskala CO</w:t>
      </w:r>
      <w:r>
        <w:rPr>
          <w:rStyle w:val="skrift-senket"/>
          <w:i/>
          <w:iCs/>
          <w:sz w:val="21"/>
          <w:szCs w:val="21"/>
        </w:rPr>
        <w:t>2</w:t>
      </w:r>
      <w:r>
        <w:rPr>
          <w:rStyle w:val="kursiv"/>
          <w:sz w:val="21"/>
          <w:szCs w:val="21"/>
        </w:rPr>
        <w:t>-håndtering i Norge og tatt stilling til om forpr</w:t>
      </w:r>
      <w:r>
        <w:rPr>
          <w:rStyle w:val="kursiv"/>
          <w:sz w:val="21"/>
          <w:szCs w:val="21"/>
        </w:rPr>
        <w:t>o</w:t>
      </w:r>
      <w:r>
        <w:rPr>
          <w:rStyle w:val="kursiv"/>
          <w:sz w:val="21"/>
          <w:szCs w:val="21"/>
        </w:rPr>
        <w:t>sjektering skal igangsettes.»</w:t>
      </w:r>
    </w:p>
    <w:p w:rsidR="00880768" w:rsidRDefault="00880768" w:rsidP="00880768">
      <w:r>
        <w:t>Dokumentene som ligger til grunn for saken er Meld. St. 1 (2017–2018) Nasjonalbudsjettet 2016 og Innst. 2 S (2017–2018) om nasjonalbudsjettet 2018 og forslag til statsbudsjett for 2018.</w:t>
      </w:r>
    </w:p>
    <w:p w:rsidR="00880768" w:rsidRDefault="00880768" w:rsidP="00880768">
      <w:r>
        <w:t>Vedtaket er fulgt i Prop. 85 S (2017–2018) Tilleggsbevilgninger og omprioriteringer i statsbudsje</w:t>
      </w:r>
      <w:r>
        <w:t>t</w:t>
      </w:r>
      <w:r>
        <w:t xml:space="preserve">tet 2018 (side 123), kapittel 3.2 Status i arbeidet med </w:t>
      </w:r>
      <w:proofErr w:type="gramStart"/>
      <w:r>
        <w:t>et</w:t>
      </w:r>
      <w:proofErr w:type="gramEnd"/>
      <w:r>
        <w:t xml:space="preserve"> fullskala demonstrasjonsanlegg for fangst og lagring av CO</w:t>
      </w:r>
      <w:r>
        <w:rPr>
          <w:rStyle w:val="skrift-senket"/>
          <w:sz w:val="21"/>
          <w:szCs w:val="21"/>
        </w:rPr>
        <w:t>2</w:t>
      </w:r>
      <w:r>
        <w:t>, jf. Innst. 400 S (2017–2018). Norcem er tilbudt tilskudd til å gjennomføre fo</w:t>
      </w:r>
      <w:r>
        <w:t>r</w:t>
      </w:r>
      <w:r>
        <w:t>prosjektering av CO</w:t>
      </w:r>
      <w:r>
        <w:rPr>
          <w:rStyle w:val="skrift-senket"/>
          <w:sz w:val="21"/>
          <w:szCs w:val="21"/>
        </w:rPr>
        <w:t>2</w:t>
      </w:r>
      <w:r>
        <w:t>-fangst på sementfabrikken i Brevik, Fortum Oslo Varme er tilbudt tilskudd til å gjennomføre forprosjektering av CO</w:t>
      </w:r>
      <w:r>
        <w:rPr>
          <w:rStyle w:val="skrift-senket"/>
          <w:sz w:val="21"/>
          <w:szCs w:val="21"/>
        </w:rPr>
        <w:t>2</w:t>
      </w:r>
      <w:r>
        <w:t>-fangst på energigjenvinningsanlegget på Klemetsrud og arbeidet med transport og lagring av CO</w:t>
      </w:r>
      <w:r>
        <w:rPr>
          <w:rStyle w:val="skrift-senket"/>
          <w:sz w:val="21"/>
          <w:szCs w:val="21"/>
        </w:rPr>
        <w:t>2</w:t>
      </w:r>
      <w:r>
        <w:t xml:space="preserve"> fortsetter. </w:t>
      </w:r>
    </w:p>
    <w:p w:rsidR="00880768" w:rsidRDefault="00880768" w:rsidP="00880768">
      <w:r>
        <w:t>Med bakgrunn i ovennevnte anses anmodningsvedtaket som fulgt opp.</w:t>
      </w:r>
    </w:p>
    <w:p w:rsidR="00880768" w:rsidRDefault="00880768" w:rsidP="00880768">
      <w:pPr>
        <w:pStyle w:val="avsnitt-tittel"/>
      </w:pPr>
      <w:r>
        <w:t>Fornybar energiproduksjon til havs – demonstrasjonsprosjekt for flytende vin</w:t>
      </w:r>
      <w:r>
        <w:t>d</w:t>
      </w:r>
      <w:r>
        <w:t>kraft</w:t>
      </w:r>
    </w:p>
    <w:p w:rsidR="00880768" w:rsidRDefault="00880768" w:rsidP="00880768">
      <w:pPr>
        <w:pStyle w:val="avsnitt-undertittel"/>
      </w:pPr>
      <w:r>
        <w:t xml:space="preserve">Vedtak nr. 245, 13. desember 2017 </w:t>
      </w:r>
    </w:p>
    <w:p w:rsidR="00880768" w:rsidRDefault="00880768" w:rsidP="00880768">
      <w:pPr>
        <w:pStyle w:val="blokksit"/>
        <w:rPr>
          <w:rStyle w:val="kursiv"/>
          <w:sz w:val="21"/>
          <w:szCs w:val="21"/>
        </w:rPr>
      </w:pPr>
      <w:r>
        <w:rPr>
          <w:rStyle w:val="kursiv"/>
          <w:sz w:val="21"/>
          <w:szCs w:val="21"/>
        </w:rPr>
        <w:t>«Stortinget ber regjeringen legge til rette for å åpne ett til to områder for fornybar energiproduksjon til havs, og legge til rette for søknader om demonstrasjonsprosjekter for flytende vindkraft.»</w:t>
      </w:r>
    </w:p>
    <w:p w:rsidR="00880768" w:rsidRDefault="00880768" w:rsidP="00880768">
      <w:r>
        <w:t>Dokumentene som ligger til grunn for saken er Prop. 1 S (2017–2018) og Innst. 9 S (2017–2018) fra energi- og miljøkomiteen om bevilgninger på statsbudsjettet for 2018, kapitler under Olje- og energidepartementet og Klima- og miljødepartementet (rammeområde 12 og 13).</w:t>
      </w:r>
    </w:p>
    <w:p w:rsidR="00880768" w:rsidRDefault="00880768" w:rsidP="00880768">
      <w:r>
        <w:t>Olje- og energidepartementet arbeider med sikte på å åpne ett eller to områder for fornybar energ</w:t>
      </w:r>
      <w:r>
        <w:t>i</w:t>
      </w:r>
      <w:r>
        <w:t xml:space="preserve">produksjon til havs. Departementet arbeider samtidig med en forskrift til havenergilova som blant annet vil klargjøre rammene for framtidige konsesjonsprosesser. </w:t>
      </w:r>
    </w:p>
    <w:p w:rsidR="00880768" w:rsidRDefault="00880768" w:rsidP="00880768">
      <w:r>
        <w:t>Det vil være mulig å søke konsesjon innenfor områder som blir åpnet. I tillegg finnes det en un</w:t>
      </w:r>
      <w:r>
        <w:t>n</w:t>
      </w:r>
      <w:r>
        <w:t xml:space="preserve">taksbestemmelse i havenergilova som gjør det mulig å gi konsesjon til demonstrasjonsprosjekter også utenfor områder som er åpnet. Demonstrasjonsprosjekter kan på ordinær måte søke om støtte fra Enova. </w:t>
      </w:r>
    </w:p>
    <w:p w:rsidR="00880768" w:rsidRDefault="00880768" w:rsidP="00880768">
      <w:r>
        <w:t>Departementet vil på egnet måte orientere Stortinget når områder er åpnet.</w:t>
      </w:r>
    </w:p>
    <w:p w:rsidR="00880768" w:rsidRDefault="00880768" w:rsidP="00880768">
      <w:pPr>
        <w:pStyle w:val="avsnitt-tittel"/>
      </w:pPr>
      <w:r>
        <w:t>Modeller for utjevning av nettariffene</w:t>
      </w:r>
    </w:p>
    <w:p w:rsidR="00880768" w:rsidRDefault="00880768" w:rsidP="00880768">
      <w:pPr>
        <w:pStyle w:val="avsnitt-undertittel"/>
      </w:pPr>
      <w:r>
        <w:t>Vedtak nr. 550, 16. mars 2018</w:t>
      </w:r>
    </w:p>
    <w:p w:rsidR="00880768" w:rsidRDefault="00880768" w:rsidP="00880768">
      <w:pPr>
        <w:pStyle w:val="blokksit"/>
        <w:rPr>
          <w:rStyle w:val="kursiv"/>
          <w:sz w:val="21"/>
          <w:szCs w:val="21"/>
        </w:rPr>
      </w:pPr>
      <w:r>
        <w:rPr>
          <w:rStyle w:val="kursiv"/>
          <w:sz w:val="21"/>
          <w:szCs w:val="21"/>
        </w:rPr>
        <w:t>«Stortinget ber regjeringen utrede ulike modeller for utjevning av nettariffene i Norge og komme tilbake til Stortinget med dette som egen sak høsten 2018.»</w:t>
      </w:r>
    </w:p>
    <w:p w:rsidR="00880768" w:rsidRDefault="00880768" w:rsidP="00880768">
      <w:r>
        <w:lastRenderedPageBreak/>
        <w:t xml:space="preserve">Bakgrunnen for vedtaket er representantforslag fra stortingsrepresentantene Tore Storehaug, Olaug V. Bollestad, Geir Jørgen Bekkevold og Torhild Bransdal om utjamning av nettariffane, jf. Innst. 177 S (2017–2018) og Dokument 8:14 S (2017–2018) </w:t>
      </w:r>
    </w:p>
    <w:p w:rsidR="00880768" w:rsidRDefault="00880768" w:rsidP="00880768">
      <w:r>
        <w:t>Norges vassdrags- og energidirektorat (NVE) gjennomførte i 2010 en utredning av den samlede reguleringen av strømnettet. NVE har i 2018 oppdatert og vurdert om det har skjedd relevante en</w:t>
      </w:r>
      <w:r>
        <w:t>d</w:t>
      </w:r>
      <w:r>
        <w:t>ringer i forutsetningene for konklusjonene som angår tariffutjevning i 2010-rapporten. Gjenno</w:t>
      </w:r>
      <w:r>
        <w:t>m</w:t>
      </w:r>
      <w:r>
        <w:t>gangen og vurderingene er oppsummert i kap. 12 Utjamning av nettariffane i Noreg i proposisj</w:t>
      </w:r>
      <w:r>
        <w:t>o</w:t>
      </w:r>
      <w:r>
        <w:t>nens del III, side 139. NVE konkluderer med at en modell med hel eller delvis tariffutjevning vil svekke nettselskapenes insentiver til å redusere kostnader. Det legges ikke opp til å innføre en or</w:t>
      </w:r>
      <w:r>
        <w:t>d</w:t>
      </w:r>
      <w:r>
        <w:t xml:space="preserve">ning for utjevning av nettariffer i budsjettet for 2019. </w:t>
      </w:r>
    </w:p>
    <w:p w:rsidR="00880768" w:rsidRDefault="00880768" w:rsidP="00880768">
      <w:r>
        <w:t xml:space="preserve">Med bakgrunn i denne gjennomgangen anses anmodningsvedtaket som fulgt opp. </w:t>
      </w:r>
    </w:p>
    <w:p w:rsidR="00880768" w:rsidRDefault="00880768" w:rsidP="00880768">
      <w:pPr>
        <w:pStyle w:val="avsnitt-tittel"/>
      </w:pPr>
      <w:r>
        <w:t xml:space="preserve">Funksjonelt skille – fritak for mindre nettselskap </w:t>
      </w:r>
    </w:p>
    <w:p w:rsidR="00880768" w:rsidRDefault="00880768" w:rsidP="00880768">
      <w:pPr>
        <w:pStyle w:val="avsnitt-undertittel"/>
      </w:pPr>
      <w:r>
        <w:t>Vedtak nr. 551, 16. mars 2018</w:t>
      </w:r>
    </w:p>
    <w:p w:rsidR="00880768" w:rsidRDefault="00880768" w:rsidP="00880768">
      <w:pPr>
        <w:pStyle w:val="blokksit"/>
        <w:rPr>
          <w:rStyle w:val="kursiv"/>
          <w:sz w:val="21"/>
          <w:szCs w:val="21"/>
        </w:rPr>
      </w:pPr>
      <w:r>
        <w:rPr>
          <w:rStyle w:val="kursiv"/>
          <w:sz w:val="21"/>
          <w:szCs w:val="21"/>
        </w:rPr>
        <w:t>«Stortinget ber regjeringen legge frem forslag til en lovendring som ivaretar de mindre nettselskapene, og der det i kravet om funksjonelt skille legges til grunn at nettselskap med under 30 000 abonnenter gis fritak.»</w:t>
      </w:r>
    </w:p>
    <w:p w:rsidR="00880768" w:rsidRDefault="00880768" w:rsidP="00880768">
      <w:r>
        <w:t>Bakgrunnen for vedtaket er representantforslag fra stortingsrepresentantene Marit Arnstad, Ole André Myhrvold, Sandra Borch og Nils T. Bjørke om endringer i energiloven § 4-7 om krav om funksjonelt skille, jf. Innst. 180 S (2017–2018) og Dokument 8:87 S (2017–2018).</w:t>
      </w:r>
    </w:p>
    <w:p w:rsidR="00880768" w:rsidRDefault="00880768" w:rsidP="00880768">
      <w:r>
        <w:t>Anmodningsvedtaket vil bli fulgt opp gjennom utarbeidelse av forslag til endring i energiloven, som utredes og sendes på høring på ordinær måte. De vedtatte reglene om krav til selskapsmessig og funksjonelt skille for alle nettselskap i henhold til endring i energiloven våren 2016, trer i kraft 1. januar 2021. Det legges opp til at en ny lovsak om krav til funksjonelt skille mellom nettvir</w:t>
      </w:r>
      <w:r>
        <w:t>k</w:t>
      </w:r>
      <w:r>
        <w:t>somhet og annen virksomhet fremmes for behandling i Stortinget på ordinær måte i god tid før de</w:t>
      </w:r>
      <w:r>
        <w:t>t</w:t>
      </w:r>
      <w:r>
        <w:t>te ikrafttredelsestidspunktet.</w:t>
      </w:r>
    </w:p>
    <w:p w:rsidR="00880768" w:rsidRDefault="00880768" w:rsidP="00880768">
      <w:pPr>
        <w:pStyle w:val="avsnitt-tittel"/>
      </w:pPr>
      <w:r>
        <w:t>Funksjonelt skille – unntak for selskaper som drifter flere naturlige monopol i samme selskap</w:t>
      </w:r>
    </w:p>
    <w:p w:rsidR="00880768" w:rsidRDefault="00880768" w:rsidP="00880768">
      <w:pPr>
        <w:pStyle w:val="avsnitt-undertittel"/>
      </w:pPr>
      <w:r>
        <w:t>Vedtak nr. 552, 16. mars 2018</w:t>
      </w:r>
    </w:p>
    <w:p w:rsidR="00880768" w:rsidRDefault="00880768" w:rsidP="00880768">
      <w:pPr>
        <w:pStyle w:val="blokksit"/>
        <w:rPr>
          <w:rStyle w:val="kursiv"/>
          <w:sz w:val="21"/>
          <w:szCs w:val="21"/>
        </w:rPr>
      </w:pPr>
      <w:r>
        <w:rPr>
          <w:rStyle w:val="kursiv"/>
          <w:sz w:val="21"/>
          <w:szCs w:val="21"/>
        </w:rPr>
        <w:t>«Stortinget ber regjeringen gi nettselskap som drifter flere naturlige monopol i samme selskap, unntak fra kravet om funksjonelt skille.»</w:t>
      </w:r>
    </w:p>
    <w:p w:rsidR="00880768" w:rsidRDefault="00880768" w:rsidP="00880768">
      <w:r>
        <w:t>Bakgrunnen for vedtaket er representantforslag fra stortingsrepresentantene Marit Arnstad, Ole André Myhrvold, Sandra Borch og Nils T. Bjørke om endringer i energiloven § 4-7 om krav om funksjonelt skille, jf. Innst. 180 S (2017–2018) og Dokument 8:87 S (2017–2018).</w:t>
      </w:r>
    </w:p>
    <w:p w:rsidR="00880768" w:rsidRDefault="00880768" w:rsidP="00880768">
      <w:r>
        <w:t>Anmodningsvedtaket vil bli fulgt opp på egnet måte, om nødvendig som en lovsak som utredes, sendes på høring og fremmes for behandling i Stortinget på ordinær måte. Som for vedtak 551 (2017–2018) legges det opp til at en eventuell lovsak fremmes for behandling i god tid før de gje</w:t>
      </w:r>
      <w:r>
        <w:t>l</w:t>
      </w:r>
      <w:r>
        <w:t>dende kravene til selskapsmessig og funksjonelt skille mellom nettvirksomhet og annen virksomhet trer i kraft 1. januar 2021.</w:t>
      </w:r>
    </w:p>
    <w:p w:rsidR="00880768" w:rsidRDefault="00880768" w:rsidP="00880768">
      <w:pPr>
        <w:pStyle w:val="avsnitt-tittel"/>
      </w:pPr>
      <w:r>
        <w:lastRenderedPageBreak/>
        <w:t>Endringer i energiloven – konsesjon for å eie/drive utenlandsforbindelser</w:t>
      </w:r>
    </w:p>
    <w:p w:rsidR="00880768" w:rsidRDefault="00880768" w:rsidP="00880768">
      <w:pPr>
        <w:pStyle w:val="avsnitt-undertittel"/>
      </w:pPr>
      <w:r>
        <w:t>Vedtak nr. 570, 22. mars 2018</w:t>
      </w:r>
    </w:p>
    <w:p w:rsidR="00880768" w:rsidRDefault="00880768" w:rsidP="00880768">
      <w:pPr>
        <w:pStyle w:val="blokksit"/>
        <w:rPr>
          <w:rStyle w:val="kursiv"/>
          <w:sz w:val="21"/>
          <w:szCs w:val="21"/>
        </w:rPr>
      </w:pPr>
      <w:r>
        <w:rPr>
          <w:rStyle w:val="kursiv"/>
          <w:sz w:val="21"/>
          <w:szCs w:val="21"/>
        </w:rPr>
        <w:t>«Stortinget ber regjeringen snarest fremme sak til Stortinget om endringer i lov 29. juni 1990 nr. 50 om pr</w:t>
      </w:r>
      <w:r>
        <w:rPr>
          <w:rStyle w:val="kursiv"/>
          <w:sz w:val="21"/>
          <w:szCs w:val="21"/>
        </w:rPr>
        <w:t>o</w:t>
      </w:r>
      <w:r>
        <w:rPr>
          <w:rStyle w:val="kursiv"/>
          <w:sz w:val="21"/>
          <w:szCs w:val="21"/>
        </w:rPr>
        <w:t>duksjon, omforming, overføring, omsetning, fordeling og bruk av energi m.m. om at konsesjon for å eie eller drive utenlandsforbindelser bare kan gis til den systemansvarlige (Statnett) eller foretak hvor denne har b</w:t>
      </w:r>
      <w:r>
        <w:rPr>
          <w:rStyle w:val="kursiv"/>
          <w:sz w:val="21"/>
          <w:szCs w:val="21"/>
        </w:rPr>
        <w:t>e</w:t>
      </w:r>
      <w:r>
        <w:rPr>
          <w:rStyle w:val="kursiv"/>
          <w:sz w:val="21"/>
          <w:szCs w:val="21"/>
        </w:rPr>
        <w:t>stemmende innflytelse. Systemansvarlig (Statnett) vil kunne gis konsesjon etter energiloven § 4-2 for å eie eller drive utenlandsforbindelser som er omfattet av § 3-1. Det vil kreves særskilt konsesjon fra Olje- og energid</w:t>
      </w:r>
      <w:r>
        <w:rPr>
          <w:rStyle w:val="kursiv"/>
          <w:sz w:val="21"/>
          <w:szCs w:val="21"/>
        </w:rPr>
        <w:t>e</w:t>
      </w:r>
      <w:r>
        <w:rPr>
          <w:rStyle w:val="kursiv"/>
          <w:sz w:val="21"/>
          <w:szCs w:val="21"/>
        </w:rPr>
        <w:t xml:space="preserve">partementet. Ved vurderingen av om konsesjon bør gis, skal det legges vekt på naturhensyn og prosjektets samfunnsøkonomiske lønnsomhet. </w:t>
      </w:r>
    </w:p>
    <w:p w:rsidR="00880768" w:rsidRDefault="00880768" w:rsidP="00880768">
      <w:r>
        <w:t>Bakgrunnen for vedtaket er innstilling fra energi- og miljøkomiteen om Endringer i energiloven (tredje energimarkedspakke), jf. Innst. 175 L (2017–2018) og Prop. 5 L (2017–2018).</w:t>
      </w:r>
    </w:p>
    <w:p w:rsidR="00880768" w:rsidRDefault="00880768" w:rsidP="00880768">
      <w:r>
        <w:t>Anmodningsvedtaket vil bli fulgt opp gjennom utarbeidelse av forslag til endring av energiloven, som utredes og sendes på høring på ordinær måte før saken fremmes for Stortinget som en lovsak.</w:t>
      </w:r>
    </w:p>
    <w:p w:rsidR="00880768" w:rsidRDefault="00880768" w:rsidP="00880768">
      <w:pPr>
        <w:pStyle w:val="avsnitt-tittel"/>
      </w:pPr>
      <w:r>
        <w:t>Flom- og rassikring – kartlegge utsatte, bebygde områder</w:t>
      </w:r>
    </w:p>
    <w:p w:rsidR="00880768" w:rsidRDefault="00880768" w:rsidP="00880768">
      <w:pPr>
        <w:pStyle w:val="avsnitt-undertittel"/>
      </w:pPr>
      <w:r>
        <w:t>Vedtak nr. 610, 19. april 2018</w:t>
      </w:r>
    </w:p>
    <w:p w:rsidR="00880768" w:rsidRDefault="00880768" w:rsidP="00880768">
      <w:pPr>
        <w:pStyle w:val="blokksit"/>
      </w:pPr>
      <w:r>
        <w:rPr>
          <w:rStyle w:val="kursiv"/>
          <w:sz w:val="21"/>
          <w:szCs w:val="21"/>
        </w:rPr>
        <w:t>«Stortinget ber regjeringen gjennom NVE videreføre kartleggingen av utsatte bebygde områder for å styrke kunnskapsgrunnlaget og få bedre oversikt over behovet for flom og rassikring. Basert på dette videreføres a</w:t>
      </w:r>
      <w:r>
        <w:rPr>
          <w:rStyle w:val="kursiv"/>
          <w:sz w:val="21"/>
          <w:szCs w:val="21"/>
        </w:rPr>
        <w:t>r</w:t>
      </w:r>
      <w:r>
        <w:rPr>
          <w:rStyle w:val="kursiv"/>
          <w:sz w:val="21"/>
          <w:szCs w:val="21"/>
        </w:rPr>
        <w:t>beidet med å utarbeide oversikter over aktuelle sikringstiltak som bør iverksettes.»</w:t>
      </w:r>
    </w:p>
    <w:p w:rsidR="00880768" w:rsidRDefault="00880768" w:rsidP="00880768">
      <w:r>
        <w:t xml:space="preserve">Bakgrunnen for vedtaket er representantforslag fra stortingsrepresentantene Hans Fredrik Grøvan, Trude Brosvik, Geir Jørgen Bekkevold og Torhild Bransdal om statlig kompensasjon ved flom og naturskade, jf. Innst. 206 S (2017–2018) og Dokument 8:114 S (2017–2018). </w:t>
      </w:r>
    </w:p>
    <w:p w:rsidR="00880768" w:rsidRDefault="00880768" w:rsidP="00880768">
      <w:r>
        <w:t>NVE bistår kommunene med å håndtere flom- og skredrisiko. Bistand gis til kartlegging, area</w:t>
      </w:r>
      <w:r>
        <w:t>l</w:t>
      </w:r>
      <w:r>
        <w:t>planlegging, fysiske sikringstiltak, overvåkning, varsling og beredskap. Kartlegging av fare er vi</w:t>
      </w:r>
      <w:r>
        <w:t>k</w:t>
      </w:r>
      <w:r>
        <w:t xml:space="preserve">tig for arealplanlegging og for prioritering av sikringstiltak. NVE bistår derfor kommunene med å kartlegge de mest utsatte bebygde områdene i Norge etter en risikobasert prioritering. </w:t>
      </w:r>
    </w:p>
    <w:p w:rsidR="00880768" w:rsidRDefault="00880768" w:rsidP="00880768">
      <w:r>
        <w:t>En god del kartlegging er allerede gjennomført. Flomsoner er kartlagt i 129 kommuner og kvik</w:t>
      </w:r>
      <w:r>
        <w:t>k</w:t>
      </w:r>
      <w:r>
        <w:t>leiresoner er kartlagt i 90 kommuner. Det er kartlagt fare for ulike typer skred i om lag 50 komm</w:t>
      </w:r>
      <w:r>
        <w:t>u</w:t>
      </w:r>
      <w:r>
        <w:t xml:space="preserve">ner. Basert på kartlagte faresoner, hendelser og søknader fra kommuner utarbeider NVE oversikt over aktuelle sikringstiltak over hele landet. Dette er et arbeid som vil bli videreført. Det foreslås å bevilge 349 mill. kroner til tiltak for forebygging av flom- og skredskader i 2019, hvorav 50 mill. kroner til kartlegging av flom- og skredfare. </w:t>
      </w:r>
    </w:p>
    <w:p w:rsidR="00880768" w:rsidRDefault="00880768" w:rsidP="00880768">
      <w:r>
        <w:t xml:space="preserve">Anmodningsvedtaket vil bli fulgt opp gjennom NVEs arbeid med kartlegging av fareområder, jf. omtale i del II, Programkategori 18.20 Energi og vannressurser, side 66. Her rapporteres det også årlig om arbeidet med forebygging av flom- og skredrisiko, jf. side 63. </w:t>
      </w:r>
    </w:p>
    <w:p w:rsidR="00880768" w:rsidRDefault="00880768" w:rsidP="00880768">
      <w:r>
        <w:t>Med bakgrunn i ovennevnte anses rapporteringen på anmodningsvedtaket som fulgt opp.</w:t>
      </w:r>
    </w:p>
    <w:p w:rsidR="00880768" w:rsidRDefault="00880768" w:rsidP="00880768">
      <w:pPr>
        <w:pStyle w:val="avsnitt-tittel"/>
        <w:rPr>
          <w:rStyle w:val="kursiv"/>
          <w:sz w:val="21"/>
          <w:szCs w:val="21"/>
        </w:rPr>
      </w:pPr>
      <w:r>
        <w:t>Strategi for forskning, teknologiutvikling og bruk av hydrogen som energibærer</w:t>
      </w:r>
    </w:p>
    <w:p w:rsidR="00880768" w:rsidRDefault="00880768" w:rsidP="00880768">
      <w:pPr>
        <w:pStyle w:val="avsnitt-undertittel"/>
      </w:pPr>
      <w:r>
        <w:t>Vedtak nr. 665, 3. mai 2018</w:t>
      </w:r>
    </w:p>
    <w:p w:rsidR="00880768" w:rsidRDefault="00880768" w:rsidP="00880768">
      <w:pPr>
        <w:pStyle w:val="blokksit"/>
      </w:pPr>
      <w:r>
        <w:rPr>
          <w:rStyle w:val="kursiv"/>
          <w:sz w:val="21"/>
          <w:szCs w:val="21"/>
        </w:rPr>
        <w:t>«Stortinget ber regjeringen om en helhetlig strategi for forskning, teknologiutvikling og bruk av hydrogen som energibærer.»</w:t>
      </w:r>
    </w:p>
    <w:p w:rsidR="00880768" w:rsidRDefault="00880768" w:rsidP="00880768">
      <w:r>
        <w:t xml:space="preserve">Dokumentene som ligger til grunn for vedtaket, er Meld. St. 41 (2016–2017) Klimastrategi for 2030 – norsk omstilling i europeisk samarbeid og Innst. 253 S (2017–2018). </w:t>
      </w:r>
    </w:p>
    <w:p w:rsidR="00880768" w:rsidRDefault="00880768" w:rsidP="00880768">
      <w:r>
        <w:lastRenderedPageBreak/>
        <w:t>Det vises til omtale av oppfølgingen under vedtak nr. 953, 15. juni 2017. Strategien vil også o</w:t>
      </w:r>
      <w:r>
        <w:t>m</w:t>
      </w:r>
      <w:r>
        <w:t xml:space="preserve">fatte bruk av hydrogen som energibærer. </w:t>
      </w:r>
    </w:p>
    <w:p w:rsidR="00880768" w:rsidRDefault="00880768" w:rsidP="00880768">
      <w:pPr>
        <w:pStyle w:val="avsnitt-tittel"/>
      </w:pPr>
      <w:r>
        <w:t>Felles nordisk hydrogenstrategi</w:t>
      </w:r>
    </w:p>
    <w:p w:rsidR="00880768" w:rsidRDefault="00880768" w:rsidP="00880768">
      <w:pPr>
        <w:pStyle w:val="avsnitt-undertittel"/>
      </w:pPr>
      <w:r>
        <w:t>Vedtak nr. 666, 3. mai 2018</w:t>
      </w:r>
    </w:p>
    <w:p w:rsidR="00880768" w:rsidRDefault="00880768" w:rsidP="00880768">
      <w:pPr>
        <w:pStyle w:val="blokksit"/>
        <w:rPr>
          <w:rStyle w:val="kursiv"/>
          <w:sz w:val="21"/>
          <w:szCs w:val="21"/>
        </w:rPr>
      </w:pPr>
      <w:r>
        <w:rPr>
          <w:rStyle w:val="kursiv"/>
          <w:sz w:val="21"/>
          <w:szCs w:val="21"/>
        </w:rPr>
        <w:t>«Stortinget ber regjeringen ta initiativ til sonderinger med de andre nordiske landene med tanke på en felles nordisk hydrogenstrategi.»</w:t>
      </w:r>
    </w:p>
    <w:p w:rsidR="00880768" w:rsidRDefault="00880768" w:rsidP="00880768">
      <w:r>
        <w:t xml:space="preserve">Dokumentene som ligger til grunn for vedtaket, er Meld. St. 41 (2016–2017) Klimastrategi for 2030 – norsk omstilling i europeisk samarbeid og Innst. 253 S (2017–2018). </w:t>
      </w:r>
    </w:p>
    <w:p w:rsidR="00880768" w:rsidRDefault="00880768" w:rsidP="00880768">
      <w:r>
        <w:t>Det vises til omtale av oppfølgingen under vedtak nr. 953, 15. juni 2017. I strategien vil sond</w:t>
      </w:r>
      <w:r>
        <w:t>e</w:t>
      </w:r>
      <w:r>
        <w:t>ringer med øvrig nordiske land bli omtalt.</w:t>
      </w:r>
    </w:p>
    <w:p w:rsidR="00880768" w:rsidRDefault="00880768" w:rsidP="00880768">
      <w:pPr>
        <w:pStyle w:val="avsnitt-tittel"/>
      </w:pPr>
      <w:r>
        <w:t>Gjennomgå virkemidler for kombinert oppvarming og strømforsyning i landbruket</w:t>
      </w:r>
    </w:p>
    <w:p w:rsidR="00880768" w:rsidRDefault="00880768" w:rsidP="00880768">
      <w:pPr>
        <w:pStyle w:val="avsnitt-undertittel"/>
      </w:pPr>
      <w:r>
        <w:t>Vedtak nr. 669, 3. mai 2018</w:t>
      </w:r>
    </w:p>
    <w:p w:rsidR="00880768" w:rsidRDefault="00880768" w:rsidP="00880768">
      <w:pPr>
        <w:pStyle w:val="blokksit"/>
        <w:rPr>
          <w:rStyle w:val="kursiv"/>
          <w:sz w:val="21"/>
          <w:szCs w:val="21"/>
        </w:rPr>
      </w:pPr>
      <w:r>
        <w:rPr>
          <w:rStyle w:val="kursiv"/>
          <w:sz w:val="21"/>
          <w:szCs w:val="21"/>
        </w:rPr>
        <w:t>«Stortinget ber regjeringen gjennomgå virkemidlene for kombinert oppvarming og strømforsyning (CHP) med særlig henblikk på små, prefabrikerte biogassanlegg og solcelleanlegg rettet mot landbruket.»</w:t>
      </w:r>
    </w:p>
    <w:p w:rsidR="00880768" w:rsidRDefault="00880768" w:rsidP="00880768">
      <w:r>
        <w:t xml:space="preserve">Dokumentene som ligger til grunn for vedtaket, er Meld. St. 41 (2016–2017) Klimastrategi for 2030 – norsk omstilling i europeisk samarbeid og Innst. 253 S (2017–2018). </w:t>
      </w:r>
    </w:p>
    <w:p w:rsidR="00880768" w:rsidRDefault="00880768" w:rsidP="00880768">
      <w:r>
        <w:t>Anmodningsvedtaket vil bli fulgt opp i samarbeid med berørte departementer med en gjennomgang av virkemidlene på området og forelagt Stortinget på egnet måte.</w:t>
      </w:r>
    </w:p>
    <w:p w:rsidR="00880768" w:rsidRDefault="00880768" w:rsidP="00880768">
      <w:pPr>
        <w:pStyle w:val="avsnitt-tittel"/>
      </w:pPr>
      <w:r>
        <w:t>Internasjonal standard og strategi for landstrøm og ladestrøm i norske havner</w:t>
      </w:r>
    </w:p>
    <w:p w:rsidR="00880768" w:rsidRDefault="00880768" w:rsidP="00880768">
      <w:pPr>
        <w:pStyle w:val="avsnitt-undertittel"/>
      </w:pPr>
      <w:r>
        <w:t>Vedtak nr. 673, 3. mai 2018</w:t>
      </w:r>
    </w:p>
    <w:p w:rsidR="00880768" w:rsidRDefault="00880768" w:rsidP="00880768">
      <w:pPr>
        <w:pStyle w:val="blokksit"/>
        <w:rPr>
          <w:rStyle w:val="kursiv"/>
          <w:sz w:val="21"/>
          <w:szCs w:val="21"/>
        </w:rPr>
      </w:pPr>
      <w:r>
        <w:rPr>
          <w:rStyle w:val="kursiv"/>
          <w:sz w:val="21"/>
          <w:szCs w:val="21"/>
        </w:rPr>
        <w:t xml:space="preserve"> «Stortinget ber regjeringen arbeide for en internasjonal standard, og etablere en strategi, for landstrøm og ladestrøm i de største havner og cruisehavnene i Norge innen 2025. Dette inkluderer en felles standard for klima- og miljøkrav i norske havner.»</w:t>
      </w:r>
    </w:p>
    <w:p w:rsidR="00880768" w:rsidRDefault="00880768" w:rsidP="00880768">
      <w:r>
        <w:t xml:space="preserve">Dokumentene som ligger til grunn for vedtaket, er Meld. St. 41 (2016–2017) Klimastrategi for 2030 – norsk omstilling i europeisk samarbeid og Innst. 253 S (2017–2018). </w:t>
      </w:r>
    </w:p>
    <w:p w:rsidR="00880768" w:rsidRDefault="00880768" w:rsidP="00880768">
      <w:r>
        <w:t xml:space="preserve">Anmodningsvedtaket vil bli fulgt opp i samarbeid med berørte departementer og forelagt Stortinget på egnet måte. </w:t>
      </w:r>
    </w:p>
    <w:p w:rsidR="00880768" w:rsidRDefault="00880768" w:rsidP="00880768">
      <w:pPr>
        <w:pStyle w:val="avsnitt-tittel"/>
      </w:pPr>
      <w:r>
        <w:t>Regelverk for åpning og tildeling av konsesjoner for havvind</w:t>
      </w:r>
    </w:p>
    <w:p w:rsidR="00880768" w:rsidRDefault="00880768" w:rsidP="00880768">
      <w:pPr>
        <w:pStyle w:val="avsnitt-undertittel"/>
      </w:pPr>
      <w:r>
        <w:t>Vedtak nr. 824, 4. juni 2018</w:t>
      </w:r>
    </w:p>
    <w:p w:rsidR="00880768" w:rsidRDefault="00880768" w:rsidP="00880768">
      <w:pPr>
        <w:pStyle w:val="blokksit"/>
        <w:rPr>
          <w:rStyle w:val="kursiv"/>
          <w:sz w:val="21"/>
          <w:szCs w:val="21"/>
        </w:rPr>
      </w:pPr>
      <w:r>
        <w:rPr>
          <w:rStyle w:val="kursiv"/>
          <w:sz w:val="21"/>
          <w:szCs w:val="21"/>
        </w:rPr>
        <w:t>«Stortinget ber regjeringen utarbeide detaljert forskrift for åpning og tildeling av konsesjoner for havvind på norsk sokkel.</w:t>
      </w:r>
      <w:r>
        <w:t>»</w:t>
      </w:r>
    </w:p>
    <w:p w:rsidR="00880768" w:rsidRDefault="00880768" w:rsidP="00880768">
      <w:r>
        <w:t>Bakgrunn for vedtaket er representantforslag fra Gisle Meininger Saudland, Ketil Kjenseth, Lene Westgaard-Halle og Per Espen Stoknes om utarbeidelse av detaljert regelverk for åpning og tild</w:t>
      </w:r>
      <w:r>
        <w:t>e</w:t>
      </w:r>
      <w:r>
        <w:t xml:space="preserve">ling av konsesjoner innen havvind, jf. Innst. 322 S (2017–2018) og Dokument 8:182 S (2017–2018). </w:t>
      </w:r>
    </w:p>
    <w:p w:rsidR="00880768" w:rsidRDefault="00880768" w:rsidP="00880768">
      <w:r>
        <w:lastRenderedPageBreak/>
        <w:t>Slik det framgår av omtalen under vedtak nr. 245, av 13. desember 2017, har departementet innl</w:t>
      </w:r>
      <w:r>
        <w:t>e</w:t>
      </w:r>
      <w:r>
        <w:t>det et arbeid med forskrifter til havenergilova. Departementet vil orientere Stortinget på egnet måte når forskriftene er fastsatt.</w:t>
      </w:r>
    </w:p>
    <w:p w:rsidR="00880768" w:rsidRDefault="00880768" w:rsidP="00880768">
      <w:pPr>
        <w:pStyle w:val="avsnitt-tittel"/>
      </w:pPr>
      <w:r>
        <w:t>Internasjonale erfaringer og relevante modeller for støtte til havvindkraft i tidli</w:t>
      </w:r>
      <w:r>
        <w:t>g</w:t>
      </w:r>
      <w:r>
        <w:t xml:space="preserve">fase </w:t>
      </w:r>
    </w:p>
    <w:p w:rsidR="00880768" w:rsidRDefault="00880768" w:rsidP="00880768">
      <w:pPr>
        <w:pStyle w:val="avsnitt-undertittel"/>
      </w:pPr>
      <w:r>
        <w:t>Vedtak nr. 825, 4. juni 2018</w:t>
      </w:r>
    </w:p>
    <w:p w:rsidR="00880768" w:rsidRDefault="00880768" w:rsidP="00880768">
      <w:pPr>
        <w:pStyle w:val="blokksit"/>
      </w:pPr>
      <w:r>
        <w:t>«</w:t>
      </w:r>
      <w:r>
        <w:rPr>
          <w:rStyle w:val="kursiv"/>
          <w:sz w:val="21"/>
          <w:szCs w:val="21"/>
        </w:rPr>
        <w:t>Stortinget ber regjeringen utrede internasjonale erfaringer med og relevante modeller for støttemekanismer i tidligfase som er tilstrekkelige for å stimulere til rask utvikling av havvindprosjekter i kommersiell skala.</w:t>
      </w:r>
      <w:r>
        <w:t>»</w:t>
      </w:r>
    </w:p>
    <w:p w:rsidR="00880768" w:rsidRDefault="00880768" w:rsidP="00880768">
      <w:r>
        <w:t xml:space="preserve">Bakgrunn for vedtaket er representantforslag fra Gisle Meininger Saudland (FrP), Ketil Kjenseth (V), Lene Westgaard-Halle (H), Per Espen Stoknes (MDG), ref. Dokument 8:182 S (2017–2018), Innst. 322 S (2017–2018) </w:t>
      </w:r>
    </w:p>
    <w:p w:rsidR="00880768" w:rsidRDefault="00880768" w:rsidP="00880768">
      <w:r>
        <w:t xml:space="preserve">Olje- og energidepartementet vil komme tilbake til Stortinget på egnet måte. </w:t>
      </w:r>
    </w:p>
    <w:p w:rsidR="00880768" w:rsidRDefault="00880768" w:rsidP="00880768">
      <w:pPr>
        <w:pStyle w:val="avsnitt-tittel"/>
      </w:pPr>
      <w:r>
        <w:t xml:space="preserve">Ilandføringsterminal for olje på Veidnes i Finnmark </w:t>
      </w:r>
    </w:p>
    <w:p w:rsidR="00880768" w:rsidRDefault="00880768" w:rsidP="00880768">
      <w:pPr>
        <w:pStyle w:val="avsnitt-undertittel"/>
      </w:pPr>
      <w:r>
        <w:t>Vedtak nr. 890, 11. juni 2018</w:t>
      </w:r>
    </w:p>
    <w:p w:rsidR="00880768" w:rsidRDefault="00880768" w:rsidP="00880768">
      <w:pPr>
        <w:pStyle w:val="blokksit"/>
      </w:pPr>
      <w:r>
        <w:t>«</w:t>
      </w:r>
      <w:r>
        <w:rPr>
          <w:rStyle w:val="kursiv"/>
          <w:sz w:val="21"/>
          <w:szCs w:val="21"/>
        </w:rPr>
        <w:t>Stortinget ber regjeringen sørge for at senest ved etablering av flere produserende felt i Barentshavet må disse sees i sammenheng med Johan Castberg og bygging av en ilandføringsterminal på Veidnes i Finnmark.</w:t>
      </w:r>
      <w:r>
        <w:t>»</w:t>
      </w:r>
    </w:p>
    <w:p w:rsidR="00880768" w:rsidRDefault="00880768" w:rsidP="00880768">
      <w:r>
        <w:t xml:space="preserve">Bakgrunnen for vedtaket er behandlingen av Prop. 80 S (2017–2018), Innst. 368 S (2017–2018). </w:t>
      </w:r>
    </w:p>
    <w:p w:rsidR="00880768" w:rsidRDefault="00880768" w:rsidP="00880768">
      <w:r>
        <w:t>Olje- og energidepartementet vil komme tilbake til Stortinget, jf. kap. 9 Utgreiing av omlastning</w:t>
      </w:r>
      <w:r>
        <w:t>s</w:t>
      </w:r>
      <w:r>
        <w:t xml:space="preserve">løysinger for olje på Veidnes i Finnmark i proposisjonens del III, side 107. </w:t>
      </w:r>
    </w:p>
    <w:p w:rsidR="00880768" w:rsidRDefault="00880768" w:rsidP="00880768">
      <w:pPr>
        <w:pStyle w:val="avsnitt-tittel"/>
      </w:pPr>
      <w:r>
        <w:t>Utredning av omlastingsløsninger for olje på Veidnes i Finnmark</w:t>
      </w:r>
    </w:p>
    <w:p w:rsidR="00880768" w:rsidRDefault="00880768" w:rsidP="00880768">
      <w:pPr>
        <w:pStyle w:val="avsnitt-undertittel"/>
      </w:pPr>
      <w:r>
        <w:t>Vedtak nr. 891, 11. juni 2018</w:t>
      </w:r>
    </w:p>
    <w:p w:rsidR="00880768" w:rsidRDefault="00880768" w:rsidP="00880768">
      <w:pPr>
        <w:pStyle w:val="blokksit"/>
      </w:pPr>
      <w:r>
        <w:rPr>
          <w:rStyle w:val="kursiv"/>
          <w:sz w:val="21"/>
          <w:szCs w:val="21"/>
        </w:rPr>
        <w:t>«Stortinget ber regjeringen komme tilbake til Stortinget på egnet måte – innen utgangen av 2018 og med sikte på vedtak – om utredningene Barents Sea Oil Infrastructure gjør om en nedskalert terminalløsning og en skip-til-skip-løsning på Veidnes i Finnmark. Beslutningen skal bygge på hensyn til god ressursforvaltning.»</w:t>
      </w:r>
    </w:p>
    <w:p w:rsidR="00880768" w:rsidRDefault="00880768" w:rsidP="00880768">
      <w:r>
        <w:t>Bakgrunnen for vedtaket er behandlingen av Prop. 80 S (2017–2018), Innst. 368 S (2017–2018).</w:t>
      </w:r>
    </w:p>
    <w:p w:rsidR="00880768" w:rsidRDefault="00880768" w:rsidP="00880768">
      <w:r>
        <w:t>Status og videre prosess når det gjelder utredningene om Barents Sea Oil Infrastructure er beskr</w:t>
      </w:r>
      <w:r>
        <w:t>e</w:t>
      </w:r>
      <w:r>
        <w:t xml:space="preserve">vet i kap. 9 Utgreiing av omlastningsløysinger for olje på Veidnes i Finnmark i proposisjonens del III, side 107. </w:t>
      </w:r>
    </w:p>
    <w:p w:rsidR="00880768" w:rsidRDefault="00880768" w:rsidP="00880768">
      <w:pPr>
        <w:pStyle w:val="avsnitt-tittel"/>
      </w:pPr>
      <w:r>
        <w:t xml:space="preserve">Forprosjektering og finansiering av fullskala </w:t>
      </w:r>
      <w:r>
        <w:br/>
        <w:t>CO</w:t>
      </w:r>
      <w:r>
        <w:rPr>
          <w:rStyle w:val="skrift-senket"/>
          <w:sz w:val="21"/>
          <w:szCs w:val="21"/>
        </w:rPr>
        <w:t>2</w:t>
      </w:r>
      <w:r>
        <w:t>-håndtering</w:t>
      </w:r>
    </w:p>
    <w:p w:rsidR="00880768" w:rsidRDefault="00880768" w:rsidP="00880768">
      <w:pPr>
        <w:pStyle w:val="avsnitt-undertittel"/>
      </w:pPr>
      <w:r>
        <w:t>Vedtak nr. 1007, 15. juni 2018</w:t>
      </w:r>
    </w:p>
    <w:p w:rsidR="00880768" w:rsidRDefault="00880768" w:rsidP="00880768">
      <w:pPr>
        <w:pStyle w:val="blokksit"/>
      </w:pPr>
      <w:r>
        <w:rPr>
          <w:rStyle w:val="kursiv"/>
          <w:sz w:val="21"/>
          <w:szCs w:val="21"/>
        </w:rPr>
        <w:t>«Stortinget ber regjeringen ferdigstille kvalitetssikringen knyttet til CO</w:t>
      </w:r>
      <w:r>
        <w:rPr>
          <w:rStyle w:val="skrift-senket"/>
          <w:i/>
          <w:iCs/>
          <w:sz w:val="21"/>
          <w:szCs w:val="21"/>
        </w:rPr>
        <w:t>2</w:t>
      </w:r>
      <w:r>
        <w:rPr>
          <w:rStyle w:val="kursiv"/>
          <w:sz w:val="21"/>
          <w:szCs w:val="21"/>
        </w:rPr>
        <w:t>-fangstprosjektet til Fortum Oslo Va</w:t>
      </w:r>
      <w:r>
        <w:rPr>
          <w:rStyle w:val="kursiv"/>
          <w:sz w:val="21"/>
          <w:szCs w:val="21"/>
        </w:rPr>
        <w:t>r</w:t>
      </w:r>
      <w:r>
        <w:rPr>
          <w:rStyle w:val="kursiv"/>
          <w:sz w:val="21"/>
          <w:szCs w:val="21"/>
        </w:rPr>
        <w:t>mes anlegg på Klemetsrud i løpet av sommeren 2018 og snarest sette i gang forprosjektering av CCS både på Norcem og Fortum Oslo Varme, gitt at den kvalitetssikrede informasjonen tilsier forprosjektering av Fortums anlegg som omtalt i Prop. 85 S (2017–2018). Stortinget ber regjeringen på egnet måte i løpet av våren 2019 legge fram en orientering om aktuelle finansieringsmodeller for fullskala fangst, lagring og transport av CO</w:t>
      </w:r>
      <w:r>
        <w:rPr>
          <w:rStyle w:val="skrift-senket"/>
          <w:i/>
          <w:iCs/>
          <w:sz w:val="21"/>
          <w:szCs w:val="21"/>
        </w:rPr>
        <w:t>2</w:t>
      </w:r>
      <w:r>
        <w:rPr>
          <w:rStyle w:val="kursiv"/>
          <w:sz w:val="21"/>
          <w:szCs w:val="21"/>
        </w:rPr>
        <w:t>.»</w:t>
      </w:r>
    </w:p>
    <w:p w:rsidR="00880768" w:rsidRDefault="00880768" w:rsidP="00880768">
      <w:r>
        <w:lastRenderedPageBreak/>
        <w:t xml:space="preserve">Bakgrunnen for vedtaket er behandlingen av Meld. St. 2 (2017–2018), Innst. 400 S (2017–2018). </w:t>
      </w:r>
    </w:p>
    <w:p w:rsidR="00880768" w:rsidRDefault="00880768" w:rsidP="00880768">
      <w:r>
        <w:t>Det vises til omtale under vedtak 39, 4. desember 2017, om videreføring av fullskala CO</w:t>
      </w:r>
      <w:r>
        <w:rPr>
          <w:rStyle w:val="skrift-senket"/>
          <w:sz w:val="21"/>
          <w:szCs w:val="21"/>
        </w:rPr>
        <w:t>2</w:t>
      </w:r>
      <w:r>
        <w:t>-håndtering, jf. Prop. 85 S (2017–2018) Tilleggsbevilgninger og omprioriteringer i statsbu</w:t>
      </w:r>
      <w:r>
        <w:t>d</w:t>
      </w:r>
      <w:r>
        <w:t xml:space="preserve">sjettet 2018 (side 123), kap. 3.2 Status i arbeidet med </w:t>
      </w:r>
      <w:proofErr w:type="gramStart"/>
      <w:r>
        <w:t>et</w:t>
      </w:r>
      <w:proofErr w:type="gramEnd"/>
      <w:r>
        <w:t xml:space="preserve"> fullskala demonstrasjonsanlegg for fangst og lagring av CO</w:t>
      </w:r>
      <w:r>
        <w:rPr>
          <w:rStyle w:val="skrift-senket"/>
          <w:sz w:val="21"/>
          <w:szCs w:val="21"/>
        </w:rPr>
        <w:t>2</w:t>
      </w:r>
      <w:r>
        <w:t xml:space="preserve"> og Innst. 400 S (2017–2018). Ekstern kvalitetssikrer ferdigstilte sommeren 2018 tilleggsrapporten med kvalitetssikring av CO</w:t>
      </w:r>
      <w:r>
        <w:rPr>
          <w:rStyle w:val="skrift-senket"/>
          <w:sz w:val="21"/>
          <w:szCs w:val="21"/>
        </w:rPr>
        <w:t>2</w:t>
      </w:r>
      <w:r>
        <w:t>-fangstprosjektet til Fortum Oslo Varme. Ifølge ek</w:t>
      </w:r>
      <w:r>
        <w:t>s</w:t>
      </w:r>
      <w:r>
        <w:t>tern kvalitetssikrer er Fortum Oslo Varmes prosjekt vesentlig styrket siden forrige vurdering. Kostnadsestimatene og usikkerheten knyttet til gjennomføringen av prosjektet er redusert. Prosje</w:t>
      </w:r>
      <w:r>
        <w:t>k</w:t>
      </w:r>
      <w:r>
        <w:t xml:space="preserve">tet er nå vurdert å ligge nærmere Norcems fangstprosjekt. Fortum Oslo Varme er derfor tilbudt tilskudd til forprosjektering av sitt fangstprosjekt sammen med Norcem sitt fangstprosjekt. </w:t>
      </w:r>
    </w:p>
    <w:p w:rsidR="00880768" w:rsidRDefault="00880768" w:rsidP="00880768">
      <w:r>
        <w:t>Med bakgrunn i ovennevnte anses første del av anmodningsvedtaket som fulgt opp. Olje- og ene</w:t>
      </w:r>
      <w:r>
        <w:t>r</w:t>
      </w:r>
      <w:r>
        <w:t>gidepartementet vil komme tilbake til Stortinget på egnet måte i løpet av våren 2019 med en orie</w:t>
      </w:r>
      <w:r>
        <w:t>n</w:t>
      </w:r>
      <w:r>
        <w:t>tering om aktuelle finansieringsmodeller for fullskala CO</w:t>
      </w:r>
      <w:r>
        <w:rPr>
          <w:rStyle w:val="skrift-senket"/>
          <w:sz w:val="21"/>
          <w:szCs w:val="21"/>
        </w:rPr>
        <w:t>2</w:t>
      </w:r>
      <w:r>
        <w:t xml:space="preserve">-håndteringsprosjekter. </w:t>
      </w:r>
    </w:p>
    <w:p w:rsidR="00880768" w:rsidRDefault="00880768" w:rsidP="00880768">
      <w:pPr>
        <w:pStyle w:val="Overskrift2"/>
      </w:pPr>
      <w:r>
        <w:t>Stortingssesjon 2016–2017</w:t>
      </w:r>
    </w:p>
    <w:p w:rsidR="00880768" w:rsidRDefault="00880768" w:rsidP="00880768">
      <w:pPr>
        <w:pStyle w:val="avsnitt-tittel"/>
      </w:pPr>
      <w:r>
        <w:t>Plan for 10 TWh energisparing i bygg innen 2030</w:t>
      </w:r>
    </w:p>
    <w:p w:rsidR="00880768" w:rsidRDefault="00880768" w:rsidP="00880768">
      <w:pPr>
        <w:pStyle w:val="avsnitt-undertittel"/>
      </w:pPr>
      <w:r>
        <w:t>Vedtak nr. 714, 30. mai 2017</w:t>
      </w:r>
    </w:p>
    <w:p w:rsidR="00880768" w:rsidRDefault="00880768" w:rsidP="00880768">
      <w:pPr>
        <w:pStyle w:val="blokksit"/>
        <w:rPr>
          <w:rStyle w:val="kursiv"/>
          <w:sz w:val="21"/>
          <w:szCs w:val="21"/>
        </w:rPr>
      </w:pPr>
      <w:r>
        <w:rPr>
          <w:rStyle w:val="kursiv"/>
          <w:sz w:val="21"/>
          <w:szCs w:val="21"/>
        </w:rPr>
        <w:t>«Stortinget ber regjeringen i forslag til statsbudsjett for 2018 legge fram en plan for hvordan man kan realisere 10 TWh energisparing i bygg innen 2030. Planen skal inneholde en konkret nedtrappingsplan i bygg og en virkemiddelpakke med eksisterende og nye virkemidler for å realisere målet.»</w:t>
      </w:r>
    </w:p>
    <w:p w:rsidR="00880768" w:rsidRDefault="00880768" w:rsidP="00880768">
      <w:r>
        <w:t>Dokumentene som ligger til grunn for saken er representantforslag fra Janne Seljemo Nordås, Liv Signe Navarsete og Marit Arnstad, jf. Dokument 8:67 S (2016–2017) og Innst. 318 S (2016–2017).</w:t>
      </w:r>
    </w:p>
    <w:p w:rsidR="00880768" w:rsidRDefault="00880768" w:rsidP="00880768">
      <w:r>
        <w:t xml:space="preserve">Et mål om 10 TWh redusert energibruk i eksisterende bygg, herunder bruk av ulike virkemidler, ble omtalt i Prop. 1 S (2017–2018) fra Olje- og energidepartementet, kapittel 13 i proposisjonens del III. </w:t>
      </w:r>
    </w:p>
    <w:p w:rsidR="00880768" w:rsidRDefault="00880768" w:rsidP="00880768">
      <w:r>
        <w:t xml:space="preserve">Energi- og miljøkomiteens flertall har i Innst. 9 S (2017–2018) vist til sine merknader under kap. 1825 og er uenig i at vedtaket er fulgt opp. </w:t>
      </w:r>
    </w:p>
    <w:p w:rsidR="00880768" w:rsidRDefault="00880768" w:rsidP="00880768">
      <w:r>
        <w:t>Olje- og energidepartementet vil komme tilbake til Stortinget på egnet måte.</w:t>
      </w:r>
    </w:p>
    <w:p w:rsidR="00880768" w:rsidRDefault="00880768" w:rsidP="00880768">
      <w:pPr>
        <w:pStyle w:val="avsnitt-tittel"/>
      </w:pPr>
      <w:r>
        <w:t>Konkurransesituasjonen på norsk sokkel – norsk leverandørindustri</w:t>
      </w:r>
    </w:p>
    <w:p w:rsidR="00880768" w:rsidRDefault="00880768" w:rsidP="00880768">
      <w:pPr>
        <w:pStyle w:val="avsnitt-undertittel"/>
      </w:pPr>
      <w:r>
        <w:t>Vedtak nr. 765, 6. juni 2017</w:t>
      </w:r>
    </w:p>
    <w:p w:rsidR="00880768" w:rsidRDefault="00880768" w:rsidP="00880768">
      <w:pPr>
        <w:pStyle w:val="blokksit"/>
        <w:rPr>
          <w:rStyle w:val="kursiv"/>
          <w:sz w:val="21"/>
          <w:szCs w:val="21"/>
        </w:rPr>
      </w:pPr>
      <w:r>
        <w:rPr>
          <w:rStyle w:val="kursiv"/>
          <w:sz w:val="21"/>
          <w:szCs w:val="21"/>
        </w:rPr>
        <w:t>«Stortinget ber regjeringen utrede konkurransesituasjonen på norsk sokkel og framtidsutsiktene for norsk l</w:t>
      </w:r>
      <w:r>
        <w:rPr>
          <w:rStyle w:val="kursiv"/>
          <w:sz w:val="21"/>
          <w:szCs w:val="21"/>
        </w:rPr>
        <w:t>e</w:t>
      </w:r>
      <w:r>
        <w:rPr>
          <w:rStyle w:val="kursiv"/>
          <w:sz w:val="21"/>
          <w:szCs w:val="21"/>
        </w:rPr>
        <w:t>verandørindustri etter de omstillingene industrien har vært igjennom.»</w:t>
      </w:r>
    </w:p>
    <w:p w:rsidR="00880768" w:rsidRDefault="00880768" w:rsidP="00880768">
      <w:r>
        <w:t>Dokumentene som ligger til grunn for saken er representantforslag fra Line Henriette Hjemdal, Rigmor Andersen Eide, Geir Sigbjørn Toskedal og Geir Jørgen Bekkevold, jf. Dokument 8:128 S (2016–2017) og Innst. 344 S (2016–2017).</w:t>
      </w:r>
    </w:p>
    <w:p w:rsidR="00880768" w:rsidRDefault="00880768" w:rsidP="00880768">
      <w:r>
        <w:t>Olje- og energidepartementet har i dialog med Næringsdepartementet utredet konkurransesituasj</w:t>
      </w:r>
      <w:r>
        <w:t>o</w:t>
      </w:r>
      <w:r>
        <w:t>nen på norsk sokkel og vurdert framtidsutsiktene for norsk leverandørindustri etter de omstilling</w:t>
      </w:r>
      <w:r>
        <w:t>e</w:t>
      </w:r>
      <w:r>
        <w:t xml:space="preserve">ne industrien har vært igjennom. Utredningen er inntatt i kapittel 11 Konkurransesituasjonen på norsk sokkel og framtidsutsiktene for norsk leverandørindustri i proposisjonenes del III, side 119. </w:t>
      </w:r>
    </w:p>
    <w:p w:rsidR="00880768" w:rsidRDefault="00880768" w:rsidP="00880768">
      <w:r>
        <w:t>Med bakgrunn i denne utredningen anses anmodningsvedtaket som fulgt opp.</w:t>
      </w:r>
    </w:p>
    <w:p w:rsidR="00880768" w:rsidRDefault="00880768" w:rsidP="00880768">
      <w:pPr>
        <w:pStyle w:val="avsnitt-tittel"/>
      </w:pPr>
      <w:r>
        <w:lastRenderedPageBreak/>
        <w:t>Industristrategi for hydrogen</w:t>
      </w:r>
    </w:p>
    <w:p w:rsidR="00880768" w:rsidRDefault="00880768" w:rsidP="00880768">
      <w:pPr>
        <w:pStyle w:val="avsnitt-undertittel"/>
      </w:pPr>
      <w:r>
        <w:t>Vedtak nr. 953, 15. juni 2017</w:t>
      </w:r>
    </w:p>
    <w:p w:rsidR="00880768" w:rsidRDefault="00880768" w:rsidP="00880768">
      <w:pPr>
        <w:pStyle w:val="blokksit"/>
        <w:rPr>
          <w:rStyle w:val="kursiv"/>
          <w:sz w:val="21"/>
          <w:szCs w:val="21"/>
        </w:rPr>
      </w:pPr>
      <w:r>
        <w:rPr>
          <w:rStyle w:val="kursiv"/>
          <w:sz w:val="21"/>
          <w:szCs w:val="21"/>
        </w:rPr>
        <w:t>«Stortinget ber regjeringen utarbeide en industristrategi for hydrogen.</w:t>
      </w:r>
      <w:r>
        <w:t>»</w:t>
      </w:r>
    </w:p>
    <w:p w:rsidR="00880768" w:rsidRDefault="00880768" w:rsidP="00880768">
      <w:r>
        <w:t>Dokumentene som ligger til grunn for saken er Meld. St. 27 (2016–2017) Industrien – grønnere, smartere og mer nyskapende og Innst. 453 S (2016–2017).</w:t>
      </w:r>
    </w:p>
    <w:p w:rsidR="00880768" w:rsidRDefault="00880768" w:rsidP="00880768">
      <w:r>
        <w:t>Anmodningsvedtaket vil bli fulgt opp ved at Olje- og energidepartementet og Klima- og miljød</w:t>
      </w:r>
      <w:r>
        <w:t>e</w:t>
      </w:r>
      <w:r>
        <w:t>partementet sammen legger frem en helhetlig strategi for forskning, teknologiutvikling og bruk av hydrogen som energibærer på egnet måte, som varslet i regjeringens politiske plattform (Je</w:t>
      </w:r>
      <w:r>
        <w:t>l</w:t>
      </w:r>
      <w:r>
        <w:t xml:space="preserve">øya-plattformen). </w:t>
      </w:r>
    </w:p>
    <w:p w:rsidR="00880768" w:rsidRDefault="00880768" w:rsidP="00880768">
      <w:pPr>
        <w:pStyle w:val="Overskrift2"/>
      </w:pPr>
      <w:r>
        <w:t>Stortingssesjon 2015–2016</w:t>
      </w:r>
    </w:p>
    <w:p w:rsidR="00880768" w:rsidRDefault="00880768" w:rsidP="00880768">
      <w:pPr>
        <w:pStyle w:val="avsnitt-tittel"/>
      </w:pPr>
      <w:r>
        <w:t>Fullskala CO</w:t>
      </w:r>
      <w:r>
        <w:rPr>
          <w:rStyle w:val="skrift-senket"/>
          <w:sz w:val="21"/>
          <w:szCs w:val="21"/>
        </w:rPr>
        <w:t>2</w:t>
      </w:r>
      <w:r>
        <w:t>-håndtering</w:t>
      </w:r>
    </w:p>
    <w:p w:rsidR="00880768" w:rsidRDefault="00880768" w:rsidP="00880768">
      <w:pPr>
        <w:pStyle w:val="avsnitt-undertittel"/>
      </w:pPr>
      <w:r>
        <w:t xml:space="preserve">Vedtak nr. 685, 23. mai 2016 </w:t>
      </w:r>
    </w:p>
    <w:p w:rsidR="00880768" w:rsidRDefault="00880768" w:rsidP="00880768">
      <w:pPr>
        <w:pStyle w:val="blokksit"/>
        <w:rPr>
          <w:rStyle w:val="kursiv"/>
          <w:sz w:val="21"/>
          <w:szCs w:val="21"/>
        </w:rPr>
      </w:pPr>
      <w:r>
        <w:rPr>
          <w:rStyle w:val="kursiv"/>
          <w:sz w:val="21"/>
          <w:szCs w:val="21"/>
        </w:rPr>
        <w:t xml:space="preserve">«Stortinget ber regjeringen sikre realisering av minst ett CCS-anlegg for å bidra til at Norge når sitt nasjonale klimamål for 2020.» </w:t>
      </w:r>
    </w:p>
    <w:p w:rsidR="00880768" w:rsidRDefault="00880768" w:rsidP="00880768">
      <w:r>
        <w:t>Dokumentene som ligger til grunn for saken er representantforslag fra Heikki Eidsvoll Holmås, Kirsti Bergstø og Siv Elin Hansen om oppfølging av klimaavtalen fra Paris frem mot 2020, jf. D</w:t>
      </w:r>
      <w:r>
        <w:t>o</w:t>
      </w:r>
      <w:r>
        <w:t xml:space="preserve">kument 8:50 S (2015–2016) og Innst. 275 S (2015–2016). </w:t>
      </w:r>
    </w:p>
    <w:p w:rsidR="00880768" w:rsidRDefault="00880768" w:rsidP="00880768">
      <w:r>
        <w:t>Kontroll- og konstitusjonskomiteen har i Innst. 275 S (2017–2018) vist til at regjeringen vil komme tilbake til Stortinget med et helhetlig fremlegg om arbeidet med fullskala CO</w:t>
      </w:r>
      <w:r>
        <w:rPr>
          <w:rStyle w:val="skrift-senket"/>
          <w:sz w:val="21"/>
          <w:szCs w:val="21"/>
        </w:rPr>
        <w:t>2</w:t>
      </w:r>
      <w:r>
        <w:t>-håndtering i Norge, senest i forbindelse med revidert budsjett 2018. Komiteen opprettholder anmodningsvedtaket i p</w:t>
      </w:r>
      <w:r>
        <w:t>å</w:t>
      </w:r>
      <w:r>
        <w:t>vente av regjeringens tilbakemelding. Det vises til omtale under vedtak 39, 4. desember 2017, om videreføring av fullskala CO</w:t>
      </w:r>
      <w:r>
        <w:rPr>
          <w:rStyle w:val="skrift-senket"/>
          <w:sz w:val="21"/>
          <w:szCs w:val="21"/>
        </w:rPr>
        <w:t>2</w:t>
      </w:r>
      <w:r>
        <w:t>-håndtering, jf. Prop. 85 S (2017–2018) Tilleggsbevilgninger og o</w:t>
      </w:r>
      <w:r>
        <w:t>m</w:t>
      </w:r>
      <w:r>
        <w:t xml:space="preserve">prioriteringer i statsbudsjettet 2018 (side 123), kapittel 3.2 Status i arbeidet med </w:t>
      </w:r>
      <w:proofErr w:type="gramStart"/>
      <w:r>
        <w:t>et</w:t>
      </w:r>
      <w:proofErr w:type="gramEnd"/>
      <w:r>
        <w:t xml:space="preserve"> fullskala d</w:t>
      </w:r>
      <w:r>
        <w:t>e</w:t>
      </w:r>
      <w:r>
        <w:t>monstrasjonsanlegg for fangst og lagring av CO</w:t>
      </w:r>
      <w:r>
        <w:rPr>
          <w:rStyle w:val="skrift-senket"/>
          <w:sz w:val="21"/>
          <w:szCs w:val="21"/>
        </w:rPr>
        <w:t>2</w:t>
      </w:r>
      <w:r>
        <w:t xml:space="preserve"> og Innst. 400 S (2017–2018). </w:t>
      </w:r>
    </w:p>
    <w:p w:rsidR="00880768" w:rsidRDefault="00880768" w:rsidP="00880768">
      <w:r>
        <w:t>Med bakgrunn i ovennevnte anses anmodningsvedtaket som fulgt opp.</w:t>
      </w:r>
    </w:p>
    <w:p w:rsidR="00880768" w:rsidRDefault="00880768" w:rsidP="00880768">
      <w:pPr>
        <w:pStyle w:val="Overskrift2"/>
      </w:pPr>
      <w:r>
        <w:t>Stortingssesjon 2014–2015</w:t>
      </w:r>
    </w:p>
    <w:p w:rsidR="00880768" w:rsidRDefault="00880768" w:rsidP="00880768">
      <w:pPr>
        <w:pStyle w:val="avsnitt-tittel"/>
      </w:pPr>
      <w:r>
        <w:t>Virkemidler for å fase ut fossil olje i fjernvarme</w:t>
      </w:r>
    </w:p>
    <w:p w:rsidR="00880768" w:rsidRDefault="00880768" w:rsidP="00880768">
      <w:pPr>
        <w:pStyle w:val="avsnitt-undertittel"/>
      </w:pPr>
      <w:r>
        <w:t>Vedtak nr. 455, 17. mars 2015</w:t>
      </w:r>
    </w:p>
    <w:p w:rsidR="00880768" w:rsidRDefault="00880768" w:rsidP="00880768">
      <w:pPr>
        <w:pStyle w:val="blokksit"/>
        <w:rPr>
          <w:rStyle w:val="kursiv"/>
          <w:sz w:val="21"/>
          <w:szCs w:val="21"/>
        </w:rPr>
      </w:pPr>
      <w:r>
        <w:rPr>
          <w:rStyle w:val="kursiv"/>
          <w:sz w:val="21"/>
          <w:szCs w:val="21"/>
        </w:rPr>
        <w:t>«Stortinget ber regjeringen komme tilbake til Stortinget med forslag om virkemidler for å fase ut fossil olje i fjernvarme og gjøre fjernvarme mest mulig ressurseffektiv.»</w:t>
      </w:r>
    </w:p>
    <w:p w:rsidR="00880768" w:rsidRDefault="00880768" w:rsidP="00880768">
      <w:r>
        <w:t>Dokumentene som ligger til grunn for vedtaket er Representantforslag 21 S (2014–2015) fra sto</w:t>
      </w:r>
      <w:r>
        <w:t>r</w:t>
      </w:r>
      <w:r>
        <w:t>tingsrepresentant Marit Arnstad om bedre energimerking av bygg, jf. Dokument 8:21 S (2014–2015) og Innst. 192 S (2014–2015).</w:t>
      </w:r>
    </w:p>
    <w:p w:rsidR="00880768" w:rsidRDefault="00880768" w:rsidP="00880768">
      <w:r>
        <w:t xml:space="preserve">Komiteens flertall har i Innst. 9 S (2017–2018) vist til at regjeringen ikke har kommet med forslag om å fase ut olje i fjernvarme, slik Stortinget ba om, men derimot kommet med en orientering om hvorfor de mener dette ikke er nødvendig. Flertallet er enig i regjeringens vurdering av at mange fjernvarmeselskaper gjør godt arbeid med å gå foran i å fase ut fossil olje, men mener regjeringens </w:t>
      </w:r>
      <w:r>
        <w:lastRenderedPageBreak/>
        <w:t>virkemiddelbruk kunne bidratt til å sikre en god helhet. Prinsipielt bør fjernvarme til oppvarming møte samme forventning om å fase ut fossil energibruk som bygg som varmer opp med egne va</w:t>
      </w:r>
      <w:r>
        <w:t>r</w:t>
      </w:r>
      <w:r>
        <w:t>mesentraler, med eventuell unntaksregulering for beredskapsbehov. Flertallet mener på denne ba</w:t>
      </w:r>
      <w:r>
        <w:t>k</w:t>
      </w:r>
      <w:r>
        <w:t>grunn at anmodningsforslaget ikke er fulgt opp.</w:t>
      </w:r>
    </w:p>
    <w:p w:rsidR="00880768" w:rsidRDefault="00880768" w:rsidP="00880768">
      <w:r>
        <w:t xml:space="preserve">Olje- og energidepartementet vil komme tilbake til Stortinget på egnet måte. </w:t>
      </w:r>
    </w:p>
    <w:p w:rsidR="00880768" w:rsidRDefault="00880768" w:rsidP="00880768">
      <w:pPr>
        <w:pStyle w:val="Overskrift1"/>
      </w:pPr>
      <w:r>
        <w:t xml:space="preserve">Fornye, forenkle og forbedre </w:t>
      </w:r>
    </w:p>
    <w:p w:rsidR="00880768" w:rsidRDefault="00880768" w:rsidP="00880768">
      <w:r>
        <w:t xml:space="preserve">Regjeringen bygger sin politikk på en effektiv bruk av fellesskapets ressurser. Regjeringen har innført en avbyråkratiserings- og effektiviseringsreform, og forutsetter at alle statlige virksomheter gjennomfører tiltak for å bli mer effektive. Reformen vil gi insentiver til mer effektiv statlig drift og skape handlingsrom for prioriteringer i statsbudsjettet. Virksomhetene har også god anledning til å planlegge </w:t>
      </w:r>
      <w:proofErr w:type="gramStart"/>
      <w:r>
        <w:t>og</w:t>
      </w:r>
      <w:proofErr w:type="gramEnd"/>
      <w:r>
        <w:t xml:space="preserve"> gjennomføre tiltak for å effektivisere driften når reformen er et årlig krav. Deler av gevinsten fra mindre byråkrati og mer effektiv bruk av pengene overføres til fellesskapet i de årlige budsjettene. Den årlige overføringen settes til 0,5 prosent av alle drifts- og administrasjon</w:t>
      </w:r>
      <w:r>
        <w:t>s</w:t>
      </w:r>
      <w:r>
        <w:t>utgifter som bevilges over statsbudsjettet som for Olje- og energidepartementet utgjør om lag 15 mill. kroner i statsbudsjettet for 2019.</w:t>
      </w:r>
    </w:p>
    <w:p w:rsidR="00880768" w:rsidRDefault="00880768" w:rsidP="00880768">
      <w:r>
        <w:t>Ansvaret for å hente ut effektiviseringsgevinstene ligger hos den enkelte virksomhet. Olje- og energidepartementet følger opp at kravet blir lagt til grunn som et minimumskrav for alle drifts- og administrasjonsposter på departementets område. Parallelt pågår det arbeid med å avdekke og fje</w:t>
      </w:r>
      <w:r>
        <w:t>r</w:t>
      </w:r>
      <w:r>
        <w:t>ne utdatert regelverk, unødvendig rapportering, tungvinte prosedyrer eller andre årsaker til ineffe</w:t>
      </w:r>
      <w:r>
        <w:t>k</w:t>
      </w:r>
      <w:r>
        <w:t xml:space="preserve">tiv ressursbruk. </w:t>
      </w:r>
    </w:p>
    <w:p w:rsidR="00880768" w:rsidRDefault="00880768" w:rsidP="00880768">
      <w:pPr>
        <w:pStyle w:val="Overskrift2"/>
      </w:pPr>
      <w:r>
        <w:t xml:space="preserve">Forenkling og effektivisering </w:t>
      </w:r>
      <w:r>
        <w:br/>
        <w:t>ved bruk av IKT og forenkling av næringslivets kontakt med myndighe</w:t>
      </w:r>
      <w:r>
        <w:t>t</w:t>
      </w:r>
      <w:r>
        <w:t>ene</w:t>
      </w:r>
    </w:p>
    <w:p w:rsidR="00880768" w:rsidRDefault="00880768" w:rsidP="00880768">
      <w:r>
        <w:t>I petroleumssektoren er det gjennomført prosjekter innenfor digitalisering og forenkling, blant a</w:t>
      </w:r>
      <w:r>
        <w:t>n</w:t>
      </w:r>
      <w:r>
        <w:t xml:space="preserve">net ved at Oljedirektoratet (OD) har utviklet en felles nettbasert portal (SMIL) for myndighetene og næringen for søknader, innrapportering og saksbehandling. SMIL-prosjektet har hatt som mål å korte ned behandlingstiden for søknader både hos myndighetene og rettighetshaverne. SMIL-prosjektet er et tiltak for effektivisering av arbeidsprosesser og elektronisk samhandling med næringen og støtter opp om målsettingene i regjeringens digitaliseringsprogram. Gevinsten blir tatt ut hos næringen. Petroleumsnæringen har gitt gode tilbakemeldinger på løsningen. </w:t>
      </w:r>
    </w:p>
    <w:p w:rsidR="00880768" w:rsidRDefault="00880768" w:rsidP="00880768">
      <w:r>
        <w:t>Et annet tiltak som er etablert er saksbehandlingssystem Konda som forenkler Oljedirektoratets interne arbeid med behandling av søknader om utvinningstillatelser. Ved å digitalisere den interne arbeidsprosessen fra manuell til elektronisk dataflyt, har OD effektivisert sitt interne arbeid i b</w:t>
      </w:r>
      <w:r>
        <w:t>e</w:t>
      </w:r>
      <w:r>
        <w:t xml:space="preserve">handling av søknader. </w:t>
      </w:r>
    </w:p>
    <w:p w:rsidR="00880768" w:rsidRDefault="00880768" w:rsidP="00880768">
      <w:r>
        <w:t>OD har også arbeidet systematisk med å samle inn og gjøre data og informasjon tilgjengelig, noe som har gitt norsk sokkel et konkurransefortrinn i forhold til andre petroleumsprovinser. OD er således ledende når det gjelder effektiv databehandling for sektoren. Departementet har igangsatt en ekstern evaluering av dataforvaltningen og digitaliseringsarbeidet i OD, herunder måloppnåelse, nytteverdi og effektivitet.</w:t>
      </w:r>
    </w:p>
    <w:p w:rsidR="00880768" w:rsidRDefault="00880768" w:rsidP="00880768">
      <w:r>
        <w:t>Norges vassdrags- og energidirektorat (NVE) arbeider med å effektivisere og automatisere a</w:t>
      </w:r>
      <w:r>
        <w:t>r</w:t>
      </w:r>
      <w:r>
        <w:t>beidsprosesser der det er mulig. NVE arbeider også med overgang til rapportering og søknader på nett. NVE har utviklet nettskjema og økt den elektroniske ekspederingen av brev. Overgang til rapportering og søknader på nett bidrar til effektivisering av den interne saksbehandlingen. Saksflyt blir automatisert og validering av innsendte data bedrer datakvaliteten og reduserer saksbehan</w:t>
      </w:r>
      <w:r>
        <w:t>d</w:t>
      </w:r>
      <w:r>
        <w:t xml:space="preserve">lingstiden. </w:t>
      </w:r>
    </w:p>
    <w:p w:rsidR="00880768" w:rsidRDefault="00880768" w:rsidP="00880768">
      <w:r>
        <w:lastRenderedPageBreak/>
        <w:t>NVE har vært pilot i Difi sitt prosjekt eInnsyn. eInnsyn erstattet dagens OEP (Offentlig elektronisk postjournal) fra 5. februar 2018. Med eInnsyn får sluttbruker/publikum direkte tilgang til offentlige dokumenter. NVE kan publisere sine offentlige dokumenter i løsningen.</w:t>
      </w:r>
    </w:p>
    <w:p w:rsidR="00880768" w:rsidRDefault="00880768" w:rsidP="00880768">
      <w:r>
        <w:t xml:space="preserve">Alle statlige virksomheter skal ta i bruk digital post til innbyggerne. Dette gjelder utsending av post til innbyggere som har valgt digital postkasse og som ikke har reservert seg. Altinn skal benyttes for digital post fra forvaltningen til næringsdrivende. Overgangen fra papirbasert post til digital post vil gi innsparinger for statlige virksomheter, blant annet i form av reduserte portokostnader. Gevinstrealisering ved overgang til digital post er hentet ut fra driftsbudsjettene til virksomhetene ved at driftsrammene er redusert. </w:t>
      </w:r>
    </w:p>
    <w:p w:rsidR="00880768" w:rsidRDefault="00880768" w:rsidP="00880768">
      <w:r>
        <w:t xml:space="preserve">Det pågår et arbeid med å effektivisere fellesadministrative tjenester i departementsfellesskapet. Effektivisering ved økt bruk av IKT blir sentralt. </w:t>
      </w:r>
    </w:p>
    <w:p w:rsidR="00880768" w:rsidRDefault="00880768" w:rsidP="00880768">
      <w:pPr>
        <w:pStyle w:val="Overskrift2"/>
      </w:pPr>
      <w:r>
        <w:t>Tiltak for økt konkurranse</w:t>
      </w:r>
    </w:p>
    <w:p w:rsidR="00880768" w:rsidRDefault="00880768" w:rsidP="00880768">
      <w:r>
        <w:t>I samråd med departementet har NVE iverksatt en omstilling av NVE Anlegg som innebærer økt bruk av private entreprenører i utføringen av permanente sikringstiltak mot flom- og skredskader. NVE Anleggs utførelse skal avgrenses til krevende sikringstiltak som er viktige for å bevare ko</w:t>
      </w:r>
      <w:r>
        <w:t>m</w:t>
      </w:r>
      <w:r>
        <w:t xml:space="preserve">petanse i NVE med sikte på å kunne bistå og rådgi kommuner i beredskapssituasjoner. </w:t>
      </w:r>
    </w:p>
    <w:p w:rsidR="00880768" w:rsidRDefault="00524591" w:rsidP="00880768">
      <w:pPr>
        <w:pStyle w:val="del-nr"/>
      </w:pPr>
      <w:r>
        <w:t>Del II</w:t>
      </w:r>
    </w:p>
    <w:p w:rsidR="00880768" w:rsidRDefault="00880768" w:rsidP="00880768">
      <w:pPr>
        <w:pStyle w:val="del-tittel"/>
        <w:rPr>
          <w:w w:val="100"/>
        </w:rPr>
      </w:pPr>
      <w:r>
        <w:rPr>
          <w:w w:val="100"/>
        </w:rPr>
        <w:t>Budsjettforslag</w:t>
      </w:r>
    </w:p>
    <w:p w:rsidR="00880768" w:rsidRDefault="00880768" w:rsidP="00880768">
      <w:pPr>
        <w:pStyle w:val="Overskrift1"/>
      </w:pPr>
      <w:r>
        <w:t>Nærmere omtale av bevilgningsforslagene mv.</w:t>
      </w:r>
    </w:p>
    <w:p w:rsidR="00880768" w:rsidRDefault="00880768" w:rsidP="00880768">
      <w:pPr>
        <w:pStyle w:val="b-progomr"/>
      </w:pPr>
      <w:r>
        <w:t>Programområde 18 Olje- og energiformål</w:t>
      </w:r>
    </w:p>
    <w:p w:rsidR="00880768" w:rsidRDefault="00880768" w:rsidP="00880768">
      <w:pPr>
        <w:pStyle w:val="b-progkat"/>
      </w:pPr>
      <w:r>
        <w:t>Programkategori 18.00 Administrasjon</w:t>
      </w:r>
    </w:p>
    <w:p w:rsidR="00880768" w:rsidRDefault="00880768" w:rsidP="00880768">
      <w:pPr>
        <w:pStyle w:val="Undertittel"/>
      </w:pPr>
      <w:r>
        <w:t>Olje- og energidepartementet</w:t>
      </w:r>
    </w:p>
    <w:p w:rsidR="00880768" w:rsidRDefault="00880768" w:rsidP="00880768">
      <w:r>
        <w:t>Olje- og energidepartementet skal legge til rette for en samordnet og helhetlig petroleums- og ene</w:t>
      </w:r>
      <w:r>
        <w:t>r</w:t>
      </w:r>
      <w:r>
        <w:t xml:space="preserve">gipolitikk. </w:t>
      </w:r>
    </w:p>
    <w:p w:rsidR="00880768" w:rsidRDefault="00880768" w:rsidP="00880768">
      <w:r>
        <w:t>Departementet ivaretar rollen som sektorforvalter, har ansvar for styring av Oljedirektoratet og Norges vassdrags- og energidirektorat, styring av oppdrag som er gitt Petoro AS (forvaltning av SDØE-ordningen) og Gassnova SF (forvaltning av Fond for CO</w:t>
      </w:r>
      <w:r>
        <w:rPr>
          <w:rStyle w:val="skrift-senket"/>
          <w:sz w:val="21"/>
          <w:szCs w:val="21"/>
        </w:rPr>
        <w:t>2</w:t>
      </w:r>
      <w:r>
        <w:t>-håndtering og statens interesser knyttet til CO</w:t>
      </w:r>
      <w:r>
        <w:rPr>
          <w:rStyle w:val="skrift-senket"/>
          <w:sz w:val="21"/>
          <w:szCs w:val="21"/>
        </w:rPr>
        <w:t>2</w:t>
      </w:r>
      <w:r>
        <w:t>-håndtering) og forvalter statens eierskap i Gassnova SF, Statnett SF, Petoro AS, Gassco AS og Equinor ASA.</w:t>
      </w:r>
    </w:p>
    <w:p w:rsidR="00880768" w:rsidRDefault="00880768" w:rsidP="00880768">
      <w:r>
        <w:t xml:space="preserve">Det ble utført 143 årsverk i Olje- og energidepartementet i 2017. Departementet har i tillegg en energiråd ved Norges delegasjon til EU i Brussel, en energiråd ved ambassaden i Washington, en energi- og miljøråd ved ambassaden i Moskva og en energimedarbeider ved OECD-delegasjonen i Paris. </w:t>
      </w:r>
    </w:p>
    <w:p w:rsidR="00880768" w:rsidRDefault="00880768" w:rsidP="00880768">
      <w:r>
        <w:t>Departementets petroleums- og energipolitiske mål og oppgaver for 2019 og resultatrapport for 2017 beskrives under de aktuelle programkategoriene.</w:t>
      </w:r>
    </w:p>
    <w:p w:rsidR="00880768" w:rsidRDefault="00880768" w:rsidP="00880768">
      <w:r>
        <w:lastRenderedPageBreak/>
        <w:br/>
      </w:r>
    </w:p>
    <w:p w:rsidR="00880768" w:rsidRDefault="00880768" w:rsidP="00880768">
      <w:pPr>
        <w:pStyle w:val="b-budkaptit"/>
      </w:pPr>
      <w:r>
        <w:t>Kap. 1800 Olje- og energidepartementet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880768" w:rsidTr="0034191D">
        <w:trPr>
          <w:trHeight w:val="640"/>
        </w:trPr>
        <w:tc>
          <w:tcPr>
            <w:tcW w:w="1140" w:type="dxa"/>
            <w:shd w:val="clear" w:color="auto" w:fill="FFFFFF"/>
          </w:tcPr>
          <w:p w:rsidR="00880768" w:rsidRDefault="00880768" w:rsidP="0034191D">
            <w:pPr>
              <w:pStyle w:val="Tabellnavn"/>
            </w:pPr>
            <w:r>
              <w:t>KPAL</w:t>
            </w:r>
          </w:p>
        </w:tc>
        <w:tc>
          <w:tcPr>
            <w:tcW w:w="4560" w:type="dxa"/>
          </w:tcPr>
          <w:p w:rsidR="00880768" w:rsidRDefault="00880768" w:rsidP="0034191D">
            <w:pPr>
              <w:pStyle w:val="Tabellnavn"/>
            </w:pPr>
          </w:p>
        </w:tc>
        <w:tc>
          <w:tcPr>
            <w:tcW w:w="1140" w:type="dxa"/>
          </w:tcPr>
          <w:p w:rsidR="00880768" w:rsidRDefault="00880768" w:rsidP="0034191D">
            <w:pPr>
              <w:pStyle w:val="Tabellnavn"/>
              <w:jc w:val="right"/>
            </w:pPr>
          </w:p>
        </w:tc>
        <w:tc>
          <w:tcPr>
            <w:tcW w:w="1140" w:type="dxa"/>
          </w:tcPr>
          <w:p w:rsidR="00880768" w:rsidRDefault="00880768" w:rsidP="0034191D">
            <w:pPr>
              <w:pStyle w:val="Tabellnavn"/>
              <w:jc w:val="right"/>
            </w:pPr>
          </w:p>
        </w:tc>
        <w:tc>
          <w:tcPr>
            <w:tcW w:w="1140" w:type="dxa"/>
          </w:tcPr>
          <w:p w:rsidR="00880768" w:rsidRDefault="00880768" w:rsidP="0034191D">
            <w:pPr>
              <w:jc w:val="right"/>
            </w:pPr>
            <w:r>
              <w:t>(i 1 000 kr)</w:t>
            </w:r>
          </w:p>
        </w:tc>
      </w:tr>
      <w:tr w:rsidR="00880768" w:rsidTr="0034191D">
        <w:trPr>
          <w:trHeight w:val="600"/>
        </w:trPr>
        <w:tc>
          <w:tcPr>
            <w:tcW w:w="1140" w:type="dxa"/>
          </w:tcPr>
          <w:p w:rsidR="00880768" w:rsidRDefault="00880768" w:rsidP="0034191D">
            <w:r>
              <w:t>Post</w:t>
            </w:r>
          </w:p>
        </w:tc>
        <w:tc>
          <w:tcPr>
            <w:tcW w:w="4560" w:type="dxa"/>
          </w:tcPr>
          <w:p w:rsidR="00880768" w:rsidRDefault="00880768" w:rsidP="0034191D">
            <w:r>
              <w:t>Betegnelse</w:t>
            </w:r>
          </w:p>
        </w:tc>
        <w:tc>
          <w:tcPr>
            <w:tcW w:w="1140" w:type="dxa"/>
          </w:tcPr>
          <w:p w:rsidR="00880768" w:rsidRDefault="00880768" w:rsidP="0034191D">
            <w:pPr>
              <w:jc w:val="right"/>
            </w:pPr>
            <w:r>
              <w:t>Reg</w:t>
            </w:r>
            <w:r>
              <w:t>n</w:t>
            </w:r>
            <w:r>
              <w:t>skap 2017</w:t>
            </w:r>
          </w:p>
        </w:tc>
        <w:tc>
          <w:tcPr>
            <w:tcW w:w="1140" w:type="dxa"/>
          </w:tcPr>
          <w:p w:rsidR="00880768" w:rsidRDefault="00880768" w:rsidP="0034191D">
            <w:pPr>
              <w:jc w:val="right"/>
            </w:pPr>
            <w:r>
              <w:t xml:space="preserve">Saldert </w:t>
            </w:r>
            <w:r>
              <w:rPr>
                <w:sz w:val="22"/>
              </w:rPr>
              <w:br/>
            </w:r>
            <w:r>
              <w:t>budsjett 2018</w:t>
            </w:r>
          </w:p>
        </w:tc>
        <w:tc>
          <w:tcPr>
            <w:tcW w:w="1140" w:type="dxa"/>
          </w:tcPr>
          <w:p w:rsidR="00880768" w:rsidRDefault="00880768" w:rsidP="0034191D">
            <w:pPr>
              <w:jc w:val="right"/>
            </w:pPr>
            <w:r>
              <w:t xml:space="preserve">Forslag </w:t>
            </w:r>
            <w:r>
              <w:rPr>
                <w:sz w:val="22"/>
              </w:rPr>
              <w:br/>
            </w:r>
            <w:r>
              <w:t>2019</w:t>
            </w:r>
          </w:p>
        </w:tc>
      </w:tr>
      <w:tr w:rsidR="00880768" w:rsidTr="0034191D">
        <w:trPr>
          <w:trHeight w:val="380"/>
        </w:trPr>
        <w:tc>
          <w:tcPr>
            <w:tcW w:w="1140" w:type="dxa"/>
          </w:tcPr>
          <w:p w:rsidR="00880768" w:rsidRDefault="00880768" w:rsidP="0034191D">
            <w:r>
              <w:t>01</w:t>
            </w:r>
          </w:p>
        </w:tc>
        <w:tc>
          <w:tcPr>
            <w:tcW w:w="4560" w:type="dxa"/>
          </w:tcPr>
          <w:p w:rsidR="00880768" w:rsidRDefault="00880768" w:rsidP="0034191D">
            <w:r>
              <w:t xml:space="preserve">Driftsutgifter </w:t>
            </w:r>
          </w:p>
        </w:tc>
        <w:tc>
          <w:tcPr>
            <w:tcW w:w="1140" w:type="dxa"/>
          </w:tcPr>
          <w:p w:rsidR="00880768" w:rsidRDefault="00880768" w:rsidP="0034191D">
            <w:pPr>
              <w:jc w:val="right"/>
            </w:pPr>
            <w:r>
              <w:t>182 674</w:t>
            </w:r>
          </w:p>
        </w:tc>
        <w:tc>
          <w:tcPr>
            <w:tcW w:w="1140" w:type="dxa"/>
          </w:tcPr>
          <w:p w:rsidR="00880768" w:rsidRDefault="00880768" w:rsidP="0034191D">
            <w:pPr>
              <w:jc w:val="right"/>
            </w:pPr>
            <w:r>
              <w:t>189 113</w:t>
            </w:r>
          </w:p>
        </w:tc>
        <w:tc>
          <w:tcPr>
            <w:tcW w:w="1140" w:type="dxa"/>
          </w:tcPr>
          <w:p w:rsidR="00880768" w:rsidRDefault="00880768" w:rsidP="0034191D">
            <w:pPr>
              <w:jc w:val="right"/>
            </w:pPr>
            <w:r>
              <w:t>187 346</w:t>
            </w:r>
          </w:p>
        </w:tc>
      </w:tr>
      <w:tr w:rsidR="00880768" w:rsidTr="0034191D">
        <w:trPr>
          <w:trHeight w:val="640"/>
        </w:trPr>
        <w:tc>
          <w:tcPr>
            <w:tcW w:w="1140" w:type="dxa"/>
          </w:tcPr>
          <w:p w:rsidR="00880768" w:rsidRDefault="00880768" w:rsidP="0034191D">
            <w:r>
              <w:t>21</w:t>
            </w:r>
          </w:p>
        </w:tc>
        <w:tc>
          <w:tcPr>
            <w:tcW w:w="4560" w:type="dxa"/>
          </w:tcPr>
          <w:p w:rsidR="00880768" w:rsidRDefault="00880768" w:rsidP="0034191D">
            <w:r>
              <w:t>Spesielle driftsutgifter</w:t>
            </w:r>
            <w:r>
              <w:rPr>
                <w:rStyle w:val="kursiv"/>
                <w:sz w:val="21"/>
                <w:szCs w:val="21"/>
              </w:rPr>
              <w:t xml:space="preserve">, kan overføres, kan nyttes under post 72 </w:t>
            </w:r>
          </w:p>
        </w:tc>
        <w:tc>
          <w:tcPr>
            <w:tcW w:w="1140" w:type="dxa"/>
          </w:tcPr>
          <w:p w:rsidR="00880768" w:rsidRDefault="00880768" w:rsidP="0034191D">
            <w:pPr>
              <w:jc w:val="right"/>
            </w:pPr>
            <w:r>
              <w:t>23 054</w:t>
            </w:r>
          </w:p>
        </w:tc>
        <w:tc>
          <w:tcPr>
            <w:tcW w:w="1140" w:type="dxa"/>
          </w:tcPr>
          <w:p w:rsidR="00880768" w:rsidRDefault="00880768" w:rsidP="0034191D">
            <w:pPr>
              <w:jc w:val="right"/>
            </w:pPr>
            <w:r>
              <w:t>25 946</w:t>
            </w:r>
          </w:p>
        </w:tc>
        <w:tc>
          <w:tcPr>
            <w:tcW w:w="1140" w:type="dxa"/>
          </w:tcPr>
          <w:p w:rsidR="00880768" w:rsidRDefault="00880768" w:rsidP="0034191D">
            <w:pPr>
              <w:jc w:val="right"/>
            </w:pPr>
            <w:r>
              <w:t>26 500</w:t>
            </w:r>
          </w:p>
        </w:tc>
      </w:tr>
      <w:tr w:rsidR="00880768" w:rsidTr="0034191D">
        <w:trPr>
          <w:trHeight w:val="640"/>
        </w:trPr>
        <w:tc>
          <w:tcPr>
            <w:tcW w:w="1140" w:type="dxa"/>
          </w:tcPr>
          <w:p w:rsidR="00880768" w:rsidRDefault="00880768" w:rsidP="0034191D">
            <w:r>
              <w:t>50</w:t>
            </w:r>
          </w:p>
        </w:tc>
        <w:tc>
          <w:tcPr>
            <w:tcW w:w="4560" w:type="dxa"/>
          </w:tcPr>
          <w:p w:rsidR="00880768" w:rsidRDefault="00880768" w:rsidP="0034191D">
            <w:r>
              <w:t>Overføring til andre forvaltningsorganer</w:t>
            </w:r>
            <w:r>
              <w:rPr>
                <w:rStyle w:val="kursiv"/>
                <w:sz w:val="21"/>
                <w:szCs w:val="21"/>
              </w:rPr>
              <w:t xml:space="preserve">, </w:t>
            </w:r>
            <w:r>
              <w:rPr>
                <w:rStyle w:val="kursiv"/>
                <w:sz w:val="21"/>
                <w:szCs w:val="21"/>
              </w:rPr>
              <w:br/>
              <w:t xml:space="preserve">kan overføres </w:t>
            </w:r>
          </w:p>
        </w:tc>
        <w:tc>
          <w:tcPr>
            <w:tcW w:w="1140" w:type="dxa"/>
          </w:tcPr>
          <w:p w:rsidR="00880768" w:rsidRDefault="00880768" w:rsidP="0034191D">
            <w:pPr>
              <w:jc w:val="right"/>
            </w:pPr>
            <w:r>
              <w:t>498</w:t>
            </w:r>
          </w:p>
        </w:tc>
        <w:tc>
          <w:tcPr>
            <w:tcW w:w="1140" w:type="dxa"/>
          </w:tcPr>
          <w:p w:rsidR="00880768" w:rsidRDefault="00880768" w:rsidP="0034191D">
            <w:pPr>
              <w:jc w:val="right"/>
            </w:pPr>
            <w:r>
              <w:t>499</w:t>
            </w:r>
          </w:p>
        </w:tc>
        <w:tc>
          <w:tcPr>
            <w:tcW w:w="1140" w:type="dxa"/>
          </w:tcPr>
          <w:p w:rsidR="00880768" w:rsidRDefault="00880768" w:rsidP="0034191D">
            <w:pPr>
              <w:jc w:val="right"/>
            </w:pPr>
            <w:r>
              <w:t>500</w:t>
            </w:r>
          </w:p>
        </w:tc>
      </w:tr>
      <w:tr w:rsidR="00880768" w:rsidTr="0034191D">
        <w:trPr>
          <w:trHeight w:val="380"/>
        </w:trPr>
        <w:tc>
          <w:tcPr>
            <w:tcW w:w="1140" w:type="dxa"/>
          </w:tcPr>
          <w:p w:rsidR="00880768" w:rsidRDefault="00880768" w:rsidP="0034191D">
            <w:r>
              <w:t>70</w:t>
            </w:r>
          </w:p>
        </w:tc>
        <w:tc>
          <w:tcPr>
            <w:tcW w:w="4560" w:type="dxa"/>
          </w:tcPr>
          <w:p w:rsidR="00880768" w:rsidRDefault="00880768" w:rsidP="0034191D">
            <w:r>
              <w:t xml:space="preserve">Tilskudd til internasjonale organisasjoner mv. </w:t>
            </w:r>
          </w:p>
        </w:tc>
        <w:tc>
          <w:tcPr>
            <w:tcW w:w="1140" w:type="dxa"/>
          </w:tcPr>
          <w:p w:rsidR="00880768" w:rsidRDefault="00880768" w:rsidP="0034191D">
            <w:pPr>
              <w:jc w:val="right"/>
            </w:pPr>
            <w:r>
              <w:t>2 444</w:t>
            </w:r>
          </w:p>
        </w:tc>
        <w:tc>
          <w:tcPr>
            <w:tcW w:w="1140" w:type="dxa"/>
          </w:tcPr>
          <w:p w:rsidR="00880768" w:rsidRDefault="00880768" w:rsidP="0034191D">
            <w:pPr>
              <w:jc w:val="right"/>
            </w:pPr>
            <w:r>
              <w:t>12 800</w:t>
            </w:r>
          </w:p>
        </w:tc>
        <w:tc>
          <w:tcPr>
            <w:tcW w:w="1140" w:type="dxa"/>
          </w:tcPr>
          <w:p w:rsidR="00880768" w:rsidRDefault="00880768" w:rsidP="0034191D">
            <w:pPr>
              <w:jc w:val="right"/>
            </w:pPr>
            <w:r>
              <w:t>10 000</w:t>
            </w:r>
          </w:p>
        </w:tc>
      </w:tr>
      <w:tr w:rsidR="00880768" w:rsidTr="0034191D">
        <w:trPr>
          <w:trHeight w:val="380"/>
        </w:trPr>
        <w:tc>
          <w:tcPr>
            <w:tcW w:w="1140" w:type="dxa"/>
          </w:tcPr>
          <w:p w:rsidR="00880768" w:rsidRDefault="00880768" w:rsidP="0034191D">
            <w:r>
              <w:t>71</w:t>
            </w:r>
          </w:p>
        </w:tc>
        <w:tc>
          <w:tcPr>
            <w:tcW w:w="4560" w:type="dxa"/>
          </w:tcPr>
          <w:p w:rsidR="00880768" w:rsidRDefault="00880768" w:rsidP="0034191D">
            <w:r>
              <w:t xml:space="preserve">Tilskudd til Norsk Oljemuseum </w:t>
            </w:r>
          </w:p>
        </w:tc>
        <w:tc>
          <w:tcPr>
            <w:tcW w:w="1140" w:type="dxa"/>
          </w:tcPr>
          <w:p w:rsidR="00880768" w:rsidRDefault="00880768" w:rsidP="0034191D">
            <w:pPr>
              <w:jc w:val="right"/>
            </w:pPr>
            <w:r>
              <w:t>45 800</w:t>
            </w:r>
          </w:p>
        </w:tc>
        <w:tc>
          <w:tcPr>
            <w:tcW w:w="1140" w:type="dxa"/>
          </w:tcPr>
          <w:p w:rsidR="00880768" w:rsidRDefault="00880768" w:rsidP="0034191D">
            <w:pPr>
              <w:jc w:val="right"/>
            </w:pPr>
            <w:r>
              <w:t>13 500</w:t>
            </w:r>
          </w:p>
        </w:tc>
        <w:tc>
          <w:tcPr>
            <w:tcW w:w="1140" w:type="dxa"/>
          </w:tcPr>
          <w:p w:rsidR="00880768" w:rsidRDefault="00880768" w:rsidP="0034191D">
            <w:pPr>
              <w:jc w:val="right"/>
            </w:pPr>
            <w:r>
              <w:t>14 000</w:t>
            </w:r>
          </w:p>
        </w:tc>
      </w:tr>
      <w:tr w:rsidR="00880768" w:rsidTr="0034191D">
        <w:trPr>
          <w:trHeight w:val="640"/>
        </w:trPr>
        <w:tc>
          <w:tcPr>
            <w:tcW w:w="1140" w:type="dxa"/>
          </w:tcPr>
          <w:p w:rsidR="00880768" w:rsidRDefault="00880768" w:rsidP="0034191D">
            <w:r>
              <w:t>72</w:t>
            </w:r>
          </w:p>
        </w:tc>
        <w:tc>
          <w:tcPr>
            <w:tcW w:w="4560" w:type="dxa"/>
          </w:tcPr>
          <w:p w:rsidR="00880768" w:rsidRDefault="00880768" w:rsidP="0034191D">
            <w:r>
              <w:t>Tilskudd til olje- og energiformål</w:t>
            </w:r>
            <w:r>
              <w:rPr>
                <w:rStyle w:val="kursiv"/>
                <w:sz w:val="21"/>
                <w:szCs w:val="21"/>
              </w:rPr>
              <w:t>, kan overf</w:t>
            </w:r>
            <w:r>
              <w:rPr>
                <w:rStyle w:val="kursiv"/>
                <w:sz w:val="21"/>
                <w:szCs w:val="21"/>
              </w:rPr>
              <w:t>ø</w:t>
            </w:r>
            <w:r>
              <w:rPr>
                <w:rStyle w:val="kursiv"/>
                <w:sz w:val="21"/>
                <w:szCs w:val="21"/>
              </w:rPr>
              <w:t xml:space="preserve">res, kan nyttes under post 21 </w:t>
            </w:r>
          </w:p>
        </w:tc>
        <w:tc>
          <w:tcPr>
            <w:tcW w:w="1140" w:type="dxa"/>
          </w:tcPr>
          <w:p w:rsidR="00880768" w:rsidRDefault="00880768" w:rsidP="0034191D">
            <w:pPr>
              <w:jc w:val="right"/>
            </w:pPr>
            <w:r>
              <w:t>5 485</w:t>
            </w:r>
          </w:p>
        </w:tc>
        <w:tc>
          <w:tcPr>
            <w:tcW w:w="1140" w:type="dxa"/>
          </w:tcPr>
          <w:p w:rsidR="00880768" w:rsidRDefault="00880768" w:rsidP="0034191D">
            <w:pPr>
              <w:jc w:val="right"/>
            </w:pPr>
            <w:r>
              <w:t>5 000</w:t>
            </w:r>
          </w:p>
        </w:tc>
        <w:tc>
          <w:tcPr>
            <w:tcW w:w="1140" w:type="dxa"/>
          </w:tcPr>
          <w:p w:rsidR="00880768" w:rsidRDefault="00880768" w:rsidP="0034191D">
            <w:pPr>
              <w:jc w:val="right"/>
            </w:pPr>
            <w:r>
              <w:t>5 000</w:t>
            </w:r>
          </w:p>
        </w:tc>
      </w:tr>
      <w:tr w:rsidR="00880768" w:rsidTr="0034191D">
        <w:trPr>
          <w:trHeight w:val="380"/>
        </w:trPr>
        <w:tc>
          <w:tcPr>
            <w:tcW w:w="1140" w:type="dxa"/>
          </w:tcPr>
          <w:p w:rsidR="00880768" w:rsidRDefault="00880768" w:rsidP="0034191D"/>
        </w:tc>
        <w:tc>
          <w:tcPr>
            <w:tcW w:w="4560" w:type="dxa"/>
          </w:tcPr>
          <w:p w:rsidR="00880768" w:rsidRDefault="00880768" w:rsidP="0034191D">
            <w:r>
              <w:t>Sum kap. 1800</w:t>
            </w:r>
          </w:p>
        </w:tc>
        <w:tc>
          <w:tcPr>
            <w:tcW w:w="1140" w:type="dxa"/>
          </w:tcPr>
          <w:p w:rsidR="00880768" w:rsidRDefault="00880768" w:rsidP="0034191D">
            <w:pPr>
              <w:jc w:val="right"/>
            </w:pPr>
            <w:r>
              <w:t>259 955</w:t>
            </w:r>
          </w:p>
        </w:tc>
        <w:tc>
          <w:tcPr>
            <w:tcW w:w="1140" w:type="dxa"/>
          </w:tcPr>
          <w:p w:rsidR="00880768" w:rsidRDefault="00880768" w:rsidP="0034191D">
            <w:pPr>
              <w:jc w:val="right"/>
            </w:pPr>
            <w:r>
              <w:t>246 858</w:t>
            </w:r>
          </w:p>
        </w:tc>
        <w:tc>
          <w:tcPr>
            <w:tcW w:w="1140" w:type="dxa"/>
          </w:tcPr>
          <w:p w:rsidR="00880768" w:rsidRDefault="00880768" w:rsidP="0034191D">
            <w:pPr>
              <w:jc w:val="right"/>
            </w:pPr>
            <w:r>
              <w:t>243 346</w:t>
            </w:r>
          </w:p>
        </w:tc>
      </w:tr>
    </w:tbl>
    <w:p w:rsidR="00880768" w:rsidRDefault="00880768" w:rsidP="00880768">
      <w:pPr>
        <w:pStyle w:val="avsnitt-undertittel"/>
      </w:pPr>
      <w:r>
        <w:t xml:space="preserve">Vedrørende 2018 </w:t>
      </w:r>
    </w:p>
    <w:p w:rsidR="00880768" w:rsidRDefault="00880768" w:rsidP="00880768">
      <w:r>
        <w:t>Ved Stortingets vedtak av 26. april 2018 ble post 01 redusert med 1,2 mill. kroner, jf. Prop. 48 S (2017–2018) og Innst. 230 S (2017–2018). Ved Stortingets vedtak av 15. juni 2018 ble post 21 og 70 redusert med 5 mill. kroner hver, jf. Innst. 400 S (2017–2018).</w:t>
      </w:r>
    </w:p>
    <w:p w:rsidR="00880768" w:rsidRDefault="00880768" w:rsidP="00880768">
      <w:pPr>
        <w:pStyle w:val="b-post"/>
      </w:pPr>
      <w:r>
        <w:t>Post 01 Driftsutgifter</w:t>
      </w:r>
    </w:p>
    <w:p w:rsidR="00880768" w:rsidRDefault="00880768" w:rsidP="00880768">
      <w:r>
        <w:t>Posten omfatter lønnsutgifter og andre utgifter til drift av Olje- og energidepartementet. Lønnsrel</w:t>
      </w:r>
      <w:r>
        <w:t>a</w:t>
      </w:r>
      <w:r>
        <w:t>terte utgifter utgjør om lag 80 prosent.</w:t>
      </w:r>
    </w:p>
    <w:p w:rsidR="00880768" w:rsidRDefault="00880768" w:rsidP="00880768">
      <w:r>
        <w:t>Det foreslås en bevilgning på om lag 187,3 mill. kroner. Reduksjonen fra saldert budsjett 2018 har sammenheng med at ansvaret for ivaretakelsen av statens eierskap i Enova SF og styring av op</w:t>
      </w:r>
      <w:r>
        <w:t>p</w:t>
      </w:r>
      <w:r>
        <w:t>drag som tildeles statsforetaket ble overført fra Olje- og energidepartementet til Klima- og milj</w:t>
      </w:r>
      <w:r>
        <w:t>ø</w:t>
      </w:r>
      <w:r>
        <w:t xml:space="preserve">departementet fra 1. mai 2018. Videre er bevilgningen redusert som følge av at det er besluttet å etablere og utvikle flere fellestjenester i departementsfelleskapet og bevilgningsfinansiere felles IKT-tjenester over Kommunal- og moderniseringsdepartementets budsjett. Reduksjonen motsvares delvis av kompensasjon for virkningen av lønnsoppgjøret i staten for 2018. </w:t>
      </w:r>
    </w:p>
    <w:p w:rsidR="00880768" w:rsidRDefault="00880768" w:rsidP="00880768">
      <w:pPr>
        <w:pStyle w:val="b-post"/>
      </w:pPr>
      <w:r>
        <w:t>Post 21 Spesielle driftsutgifter, kan overføres, kan nyttes under post 72</w:t>
      </w:r>
    </w:p>
    <w:p w:rsidR="00880768" w:rsidRDefault="00880768" w:rsidP="00880768">
      <w:r>
        <w:t>Posten omfatter utgifter til tjenester, oppdrag og prosjekter som er vesentlige for Olje- og energ</w:t>
      </w:r>
      <w:r>
        <w:t>i</w:t>
      </w:r>
      <w:r>
        <w:t>departementets arbeid, men som departementet ikke har kapasitet eller kompetanse til å utføre selv. Dette omfatter blant annet større utredninger og analyser, beslutningsstøtte, uavhengige vurd</w:t>
      </w:r>
      <w:r>
        <w:t>e</w:t>
      </w:r>
      <w:r>
        <w:t xml:space="preserve">ringer og evalueringer. </w:t>
      </w:r>
    </w:p>
    <w:p w:rsidR="00880768" w:rsidRDefault="00880768" w:rsidP="00880768">
      <w:r>
        <w:lastRenderedPageBreak/>
        <w:t>Det foreslås en bevilgning på 26,5 mill. kroner og en fullmakt til å overskride bevilgningen til de</w:t>
      </w:r>
      <w:r>
        <w:t>k</w:t>
      </w:r>
      <w:r>
        <w:t>ning av meglerhonorar og utgifter til faglig bistand ved statlig kjøp/salg av aksjeposter, samt andre endringer som kan få betydning for eierstrukturen i Equinor ASA, jf. forslag til vedtak III. Videre foreslås en fullmakt til å pådra forpliktelser for inntil 7 mill. kroner utover gitt bevilgning, jf. fo</w:t>
      </w:r>
      <w:r>
        <w:t>r</w:t>
      </w:r>
      <w:r>
        <w:t>slag til vedtak VI.</w:t>
      </w:r>
    </w:p>
    <w:p w:rsidR="00880768" w:rsidRDefault="00880768" w:rsidP="00880768">
      <w:pPr>
        <w:pStyle w:val="b-post"/>
      </w:pPr>
      <w:r>
        <w:t>Post 50 Overføring til andre forvaltningsorganer, kan overføres</w:t>
      </w:r>
    </w:p>
    <w:p w:rsidR="00880768" w:rsidRDefault="00880768" w:rsidP="00880768">
      <w:r>
        <w:t>Posten omfatter overføring til Naturfagsenteret til videreføring og videreutvikling av Energiskol</w:t>
      </w:r>
      <w:r>
        <w:t>e</w:t>
      </w:r>
      <w:r>
        <w:t xml:space="preserve">ne. </w:t>
      </w:r>
    </w:p>
    <w:p w:rsidR="00880768" w:rsidRDefault="00880768" w:rsidP="00880768">
      <w:r>
        <w:t>Olje- og energidepartementet samarbeider med Naturfagsenteret for å øke interessen for energi og petroleum blant ungdom og for å gi elever i videregående skole kunnskap om lokale energibedrifter og selskaper knyttet til oljenæringen. Energiskolene er et samarbeid mellom energibedrift og vid</w:t>
      </w:r>
      <w:r>
        <w:t>e</w:t>
      </w:r>
      <w:r>
        <w:t>regående skole om energiundervisning, en undervisningsmodell og et kompetanseutviklingspr</w:t>
      </w:r>
      <w:r>
        <w:t>o</w:t>
      </w:r>
      <w:r>
        <w:t>sjekt.</w:t>
      </w:r>
    </w:p>
    <w:p w:rsidR="00880768" w:rsidRDefault="00880768" w:rsidP="00880768">
      <w:r>
        <w:t>Det foreslås en bevilgning på 0,5 mill. kroner.</w:t>
      </w:r>
    </w:p>
    <w:p w:rsidR="00880768" w:rsidRDefault="00880768" w:rsidP="00880768">
      <w:pPr>
        <w:pStyle w:val="avsnitt-tittel"/>
      </w:pPr>
      <w:r>
        <w:t>Resultatrapport 2017</w:t>
      </w:r>
    </w:p>
    <w:p w:rsidR="00880768" w:rsidRDefault="00880768" w:rsidP="00880768">
      <w:r>
        <w:t>Det ble overført om lag 0,5 mill. kroner til Naturfagsenteret i 2017. Midlene ble i hovedsak beny</w:t>
      </w:r>
      <w:r>
        <w:t>t</w:t>
      </w:r>
      <w:r>
        <w:t>tet til arrangering av fagkonferanse for energiskolene. Målgruppen for konferansen var Le</w:t>
      </w:r>
      <w:r>
        <w:t>k</w:t>
      </w:r>
      <w:r>
        <w:t>tor2-lærere som har undervisningssamarbeid med fagpersoner fra energisektoren. Totalt deltok 91 personer på konferansen. Målet med samlingen var å gi deltakerne relevant og oppdatert inform</w:t>
      </w:r>
      <w:r>
        <w:t>a</w:t>
      </w:r>
      <w:r>
        <w:t xml:space="preserve">sjon om energisektoren, presentere ny forskning og gi deltakerne økt kunnskap om teknologiske nyvinninger og anvendelse av teknologien i arbeidslivet. </w:t>
      </w:r>
    </w:p>
    <w:p w:rsidR="00880768" w:rsidRDefault="00880768" w:rsidP="00880768">
      <w:pPr>
        <w:pStyle w:val="b-post"/>
      </w:pPr>
      <w:r>
        <w:t>Post 70 Tilskudd til internasjonale organisasjoner mv.</w:t>
      </w:r>
    </w:p>
    <w:p w:rsidR="00880768" w:rsidRDefault="00880768" w:rsidP="00880768">
      <w:r>
        <w:t>Det foreslås en bevilgning på 10 mill. kroner til ulike internasjonale organisasjoner. Utbetalingene avhenger blant annet av valutakurs på betalingstidspunktet for de aktuelle betalingsvalutaene og endring i anslag for utbetaling i det enkelte budsjettår.</w:t>
      </w:r>
    </w:p>
    <w:p w:rsidR="00880768" w:rsidRDefault="00880768" w:rsidP="00880768">
      <w:pPr>
        <w:pStyle w:val="avsnitt-tittel"/>
      </w:pPr>
      <w:r>
        <w:t>EUs byrå for samarbeid mellom nasjonale reguleringsmyndigheter på energ</w:t>
      </w:r>
      <w:r>
        <w:t>i</w:t>
      </w:r>
      <w:r>
        <w:t>området, ACER</w:t>
      </w:r>
    </w:p>
    <w:p w:rsidR="00880768" w:rsidRDefault="00880768" w:rsidP="00880768">
      <w:r>
        <w:t>En innlemmelse av forordning 714/2009 om grensekryssende krafthandel og forordning 713/2009 i EØS-avtalen sikrer norsk deltakelse i EUs byrå for samarbeid mellom nasjonale reguleringsmy</w:t>
      </w:r>
      <w:r>
        <w:t>n</w:t>
      </w:r>
      <w:r>
        <w:t>digheter på energiområdet, ACER</w:t>
      </w:r>
      <w:r>
        <w:rPr>
          <w:vertAlign w:val="superscript"/>
        </w:rPr>
        <w:footnoteReference w:id="1"/>
      </w:r>
      <w:r>
        <w:t xml:space="preserve">. Norges økonomiske bidrag til ACER anslås til 500 000 euro i 2019. </w:t>
      </w:r>
    </w:p>
    <w:p w:rsidR="00880768" w:rsidRDefault="00880768" w:rsidP="00880768">
      <w:pPr>
        <w:pStyle w:val="avsnitt-tittel"/>
      </w:pPr>
      <w:r>
        <w:t>Det internasjonale energiforum</w:t>
      </w:r>
    </w:p>
    <w:p w:rsidR="00880768" w:rsidRDefault="00880768" w:rsidP="00880768">
      <w:r>
        <w:t>Det internasjonale energiforum består av 72 land som samlet står for rundt 90 prosent av produ</w:t>
      </w:r>
      <w:r>
        <w:t>k</w:t>
      </w:r>
      <w:r>
        <w:t>sjon og forbruk av olje og gass. Organisasjonen er en arena for global energidialog, og målsettin</w:t>
      </w:r>
      <w:r>
        <w:t>g</w:t>
      </w:r>
      <w:r>
        <w:t>en er å skape forståelse for fellesinteresser blant medlemslandene, tilrettelegge for stabile markeder og global handel med energi og teknologi, styrke energisikkerheten på tilbuds- og etterspørselss</w:t>
      </w:r>
      <w:r>
        <w:t>i</w:t>
      </w:r>
      <w:r>
        <w:t xml:space="preserve">den og utvikle prinsipper og retningslinjer for transparente og robuste energimarkeder. Innsamling, </w:t>
      </w:r>
      <w:r>
        <w:lastRenderedPageBreak/>
        <w:t xml:space="preserve">analyse og spredning av informasjon er en sentral del av dette arbeidet, og sekretariatene til IEA og OPEC yter viktige bidrag i så måte. </w:t>
      </w:r>
    </w:p>
    <w:p w:rsidR="00880768" w:rsidRDefault="00880768" w:rsidP="00880768">
      <w:r>
        <w:t>Arbeidet finansieres gjennom bidrag fra deltakerlandene. Norges økonomiske bidrag til Det inte</w:t>
      </w:r>
      <w:r>
        <w:t>r</w:t>
      </w:r>
      <w:r>
        <w:t xml:space="preserve">nasjonale energiforum er beregnet til 140 000 amerikanske dollar i 2019. </w:t>
      </w:r>
    </w:p>
    <w:p w:rsidR="00880768" w:rsidRDefault="00880768" w:rsidP="00880768">
      <w:pPr>
        <w:pStyle w:val="avsnitt-tittel"/>
      </w:pPr>
      <w:r>
        <w:t>Gasseksporterende lands forum</w:t>
      </w:r>
    </w:p>
    <w:p w:rsidR="00880768" w:rsidRDefault="00880768" w:rsidP="00880768">
      <w:r>
        <w:t>Gasseksporterende lands forum er en organisasjon for dialog mellom gassprodusenter og består av tretten medlemsland. Målet for organisasjonen er å utveksle informasjon om temaer av felles inte</w:t>
      </w:r>
      <w:r>
        <w:t>r</w:t>
      </w:r>
      <w:r>
        <w:t>esse for gasseksporterende land. Deltakelse som observatør i forumet gir Norge mulighet til å u</w:t>
      </w:r>
      <w:r>
        <w:t>t</w:t>
      </w:r>
      <w:r>
        <w:t>veksle informasjon om utviklingen i gassektoren, samt opprettholde kontakten med andre gasspr</w:t>
      </w:r>
      <w:r>
        <w:t>o</w:t>
      </w:r>
      <w:r>
        <w:t>duserende land og følge utviklingen i forumet.</w:t>
      </w:r>
    </w:p>
    <w:p w:rsidR="00880768" w:rsidRDefault="00880768" w:rsidP="00880768">
      <w:r>
        <w:t>Arbeidet finansieres gjennom bidrag fra deltakerlandene. Norges økonomiske bidrag til Gassek</w:t>
      </w:r>
      <w:r>
        <w:t>s</w:t>
      </w:r>
      <w:r>
        <w:t xml:space="preserve">porterende lands forum er beregnet til 100 000 amerikanske dollar i 2019. </w:t>
      </w:r>
    </w:p>
    <w:p w:rsidR="00880768" w:rsidRPr="00676F59" w:rsidRDefault="00880768" w:rsidP="00880768">
      <w:pPr>
        <w:pStyle w:val="avsnitt-tittel"/>
        <w:rPr>
          <w:lang w:val="en-US"/>
        </w:rPr>
      </w:pPr>
      <w:r w:rsidRPr="00676F59">
        <w:rPr>
          <w:lang w:val="en-US"/>
        </w:rPr>
        <w:t>Joint Program on the Science and Policy of Global Change</w:t>
      </w:r>
    </w:p>
    <w:p w:rsidR="00880768" w:rsidRDefault="00880768" w:rsidP="00880768">
      <w:r>
        <w:t xml:space="preserve">Massachusetts Institute of Technologys Joint Program on the Science and Policy of Global Change er et forskningsprogram som har et tverrfaglig perspektiv på hvordan løse globale klimaproblemer. Deltakelse i programmet gir Olje- og energidepartementet faglig input på relevante områder og bringer departementet i dialog med et bredt faglig og internasjonalt miljø med høy kompetanse, og bidrar til økt teknisk forståelse av globale problemstillinger knyttet til energi, klima og samfunn. </w:t>
      </w:r>
    </w:p>
    <w:p w:rsidR="00880768" w:rsidRDefault="00880768" w:rsidP="00880768">
      <w:r>
        <w:t>Bidraget til Massachusetts Institute of Technologys forskningsprogram er 100 000 amerikanske dollar i 2019.</w:t>
      </w:r>
    </w:p>
    <w:p w:rsidR="00880768" w:rsidRDefault="00880768" w:rsidP="00880768">
      <w:pPr>
        <w:pStyle w:val="avsnitt-tittel"/>
      </w:pPr>
      <w:r>
        <w:t xml:space="preserve">EUs rammeprogram for konkurranseevne og innovasjon </w:t>
      </w:r>
    </w:p>
    <w:p w:rsidR="00880768" w:rsidRDefault="00880768" w:rsidP="00880768">
      <w:r>
        <w:t>EUs rammeprogram for konkurranseevne og innovasjon (CIP) ble avsluttet i 2013. Olje- og ene</w:t>
      </w:r>
      <w:r>
        <w:t>r</w:t>
      </w:r>
      <w:r>
        <w:t xml:space="preserve">gidepartementet har hatt ansvar for delprogrammet Intelligent Energy – Europe (IEE), som har hatt som formål å redusere ikke-teknologiske barrierer som hindrer økt bruk av fornybar energi og energieffektive løsninger. </w:t>
      </w:r>
    </w:p>
    <w:p w:rsidR="00880768" w:rsidRPr="00676F59" w:rsidRDefault="00880768" w:rsidP="00880768">
      <w:pPr>
        <w:rPr>
          <w:rFonts w:ascii="Times New Roman" w:hAnsi="Times New Roman"/>
          <w:szCs w:val="24"/>
        </w:rPr>
      </w:pPr>
      <w:r>
        <w:t>Det er satt av 2 mill. kroner til å dekke utestående forpliktelser for den norske deltakelsen i pr</w:t>
      </w:r>
      <w:r>
        <w:t>o</w:t>
      </w:r>
      <w:r>
        <w:t>grammet.</w:t>
      </w:r>
    </w:p>
    <w:p w:rsidR="00880768" w:rsidRDefault="00880768" w:rsidP="00880768">
      <w:pPr>
        <w:pStyle w:val="b-post"/>
      </w:pPr>
      <w:r>
        <w:t>Post 71 Tilskudd til Norsk Oljemuseum</w:t>
      </w:r>
    </w:p>
    <w:p w:rsidR="00880768" w:rsidRDefault="00880768" w:rsidP="00880768">
      <w:r>
        <w:t>Stiftelsen Norsk Oljemuseum er et nasjonalt senter for formidling av informasjon og kunnskap om petroleumsvirksomhetens utvikling og betydning for det norske samfunn. Museets hovedoppgave er å dokumentere og formidle den norske oljehistorien gjennom å samle inn, bearbeide og lagre relevant historisk kildemateriale, samt å gjøre denne informasjonen tilgjengelig gjennom utstillin</w:t>
      </w:r>
      <w:r>
        <w:t>g</w:t>
      </w:r>
      <w:r>
        <w:t xml:space="preserve">er og annen publisering. </w:t>
      </w:r>
    </w:p>
    <w:p w:rsidR="00880768" w:rsidRDefault="00880768" w:rsidP="00880768">
      <w:r>
        <w:t>Det foreslås en bevilgning på 14 mill. kroner til drift av Norsk Oljemuseums samlede virksomhet i 2019.</w:t>
      </w:r>
    </w:p>
    <w:p w:rsidR="00880768" w:rsidRDefault="00880768" w:rsidP="00880768">
      <w:pPr>
        <w:pStyle w:val="avsnitt-tittel"/>
      </w:pPr>
      <w:r>
        <w:t>Resultatrapport 2017</w:t>
      </w:r>
    </w:p>
    <w:p w:rsidR="00880768" w:rsidRDefault="00880768" w:rsidP="00880768">
      <w:r>
        <w:t>Norsk Oljemuseum hadde samlede driftsinntekter på 30,8 mill. kroner i 2017, hvorav 13,2 mill. kroner i tilskudd fra Olje- og energidepartementet. I tillegg fikk Norsk Oljemuseum et øremerket tilskudd på 32,6 mill. kroner til etablering av et nytt museumsmagasin i Stavanger. Norsk Oljem</w:t>
      </w:r>
      <w:r>
        <w:t>u</w:t>
      </w:r>
      <w:r>
        <w:lastRenderedPageBreak/>
        <w:t>seum hadde et negativt årsresultat på om lag 3,3 mill. kroner. Fra og med regnskapsåret 2016 ble museets Sponsorfond på om lag 50 mill. kroner tatt inn som en del av egenkapitalen i det ordinære regnskapet. Det innebærer at avkastning på denne kapitalen føres som finansinntekt i museets regnskap. Netto avkastning på finansplasseringer var i 2017 på om lag 3,7 mill. kroner. Dispon</w:t>
      </w:r>
      <w:r>
        <w:t>e</w:t>
      </w:r>
      <w:r>
        <w:t>ring av denne inntekten skjer gjennom et årlig uttak av egenkapital, det vil si dekning av det neg</w:t>
      </w:r>
      <w:r>
        <w:t>a</w:t>
      </w:r>
      <w:r>
        <w:t xml:space="preserve">tive årsresultatet som framkommer i årsregnskapet. </w:t>
      </w:r>
    </w:p>
    <w:p w:rsidR="00880768" w:rsidRDefault="00880768" w:rsidP="00880768">
      <w:r>
        <w:t>Norsk Oljemuseums virksomhet har i 2017 hovedsakelig vært rettet mot dokumentasjon, formi</w:t>
      </w:r>
      <w:r>
        <w:t>d</w:t>
      </w:r>
      <w:r>
        <w:t>lingstilbud og utstillinger. Innen dokumentasjon og forskning ble det blant annet jobbet med d</w:t>
      </w:r>
      <w:r>
        <w:t>o</w:t>
      </w:r>
      <w:r>
        <w:t>kumentasjons- og formidlingsprosjektet «Industriminne Draugen» og bokprosjektet «Historien om norsk undervannsteknologi». Innen utstillingsvirksomheten ble utstillingen «Dype hemmeligheter» åpnet. Dette er en utstilling om de grunnleggende geologiske prosessene som ligger til grunn for dannelsen av olje- og gass.</w:t>
      </w:r>
    </w:p>
    <w:p w:rsidR="00880768" w:rsidRDefault="00880768" w:rsidP="00880768">
      <w:r>
        <w:t xml:space="preserve">Museet tilbød også i 2017 flere ulike undervisningsopplegg tilrettelagt for ulike klassetrinn. Totalt deltok 10 572 elever i organisert pedagogisk virksomhet på Norsk Oljemuseum. Museet hadde et samlet besøkstall på 129 300 gjester, en økning på 25 prosent fra 2016. </w:t>
      </w:r>
    </w:p>
    <w:p w:rsidR="00880768" w:rsidRDefault="00880768" w:rsidP="00880768">
      <w:r>
        <w:t>Arbeidet med nytt museumsmagasin er blitt noe forsinket på grunn av nødvendige avklaringer med tomtens avgrensning til traséen for planlagt utvidelse av E39. Prosjekteringen av det nye mus</w:t>
      </w:r>
      <w:r>
        <w:t>e</w:t>
      </w:r>
      <w:r>
        <w:t>umsmagasinet ble ferdigstilt i september 2017 og kontraktsforhandlinger med utvalgte tilbydere ble innledet i slutten av 2017. Det nye museumsmagasinet forventes å stå ferdig i løpet av 2019.</w:t>
      </w:r>
    </w:p>
    <w:p w:rsidR="00880768" w:rsidRDefault="00880768" w:rsidP="00880768">
      <w:pPr>
        <w:pStyle w:val="b-post"/>
      </w:pPr>
      <w:r>
        <w:t>Post 72 Tilskudd til olje- og energiformål, kan overføres, kan nyttes under post 21</w:t>
      </w:r>
    </w:p>
    <w:p w:rsidR="00880768" w:rsidRDefault="00880768" w:rsidP="00880768">
      <w:r>
        <w:t>Det foreslås en bevilgning på 5 mill. kroner og en tilsagnsfullmakt på 126 mill. kroner, jf. forslag til vedtak V.</w:t>
      </w:r>
    </w:p>
    <w:p w:rsidR="00880768" w:rsidRDefault="00880768" w:rsidP="00880768">
      <w:pPr>
        <w:pStyle w:val="avsnitt-tittel"/>
      </w:pPr>
      <w:r>
        <w:t>Tilskudd til Standard Norge</w:t>
      </w:r>
    </w:p>
    <w:p w:rsidR="00880768" w:rsidRDefault="00880768" w:rsidP="00880768">
      <w:r>
        <w:t>Det foreslås et tilskudd på 4 mill. kroner til et treårig prosjekt (2019–2021) som skal bidra til utvi</w:t>
      </w:r>
      <w:r>
        <w:t>k</w:t>
      </w:r>
      <w:r>
        <w:t>ling og bruk av standardiserte digitaliserte løsninger for NORSOK</w:t>
      </w:r>
      <w:r>
        <w:rPr>
          <w:vertAlign w:val="superscript"/>
        </w:rPr>
        <w:footnoteReference w:id="2"/>
      </w:r>
      <w:r>
        <w:t xml:space="preserve">-porteføljen. </w:t>
      </w:r>
    </w:p>
    <w:p w:rsidR="00880768" w:rsidRDefault="00880768" w:rsidP="00880768">
      <w:pPr>
        <w:pStyle w:val="avsnitt-undertittel"/>
      </w:pPr>
      <w:r>
        <w:t>Resultatrapport 2017</w:t>
      </w:r>
    </w:p>
    <w:p w:rsidR="00880768" w:rsidRDefault="00880768" w:rsidP="00880768">
      <w:r>
        <w:t>Departementet har utbetalt 4 mill. kroner til Sektorstyret for petroleumsstandardisering ved Sta</w:t>
      </w:r>
      <w:r>
        <w:t>n</w:t>
      </w:r>
      <w:r>
        <w:t xml:space="preserve">dard Norge i 2017. Tilskuddet har bidratt til å ferdigstille revisjoner av NORSOK og internasjonale standarder. Gode NORSOK-standarder og internasjonale standarder bidrar til å redusere kostnader i forbindelse med drift og bygging av petroleumsinstallasjoner på norsk sokkel, samt sikre et høyt og forsvarlig sikkerhetsnivå. I tillegg vil oppdaterte NORSOK-standarder dokumentere teknologi og kompetanse opparbeidet på norsk sokkel. Denne kollektive kompetansen kan nyttiggjøres av nye aktører. </w:t>
      </w:r>
    </w:p>
    <w:p w:rsidR="00880768" w:rsidRDefault="00880768" w:rsidP="00880768">
      <w:pPr>
        <w:pStyle w:val="avsnitt-tittel"/>
      </w:pPr>
      <w:r>
        <w:t>Tilskudd til internasjonale samarbeids- og utviklingstiltak</w:t>
      </w:r>
    </w:p>
    <w:p w:rsidR="00880768" w:rsidRDefault="00880768" w:rsidP="00880768">
      <w:r>
        <w:t xml:space="preserve">Det foreslås å sette av 1 mill. kroner i tilskudd til internasjonale samarbeids- og utviklingstiltak. </w:t>
      </w:r>
    </w:p>
    <w:p w:rsidR="00880768" w:rsidRDefault="00880768" w:rsidP="00880768">
      <w:pPr>
        <w:pStyle w:val="avsnitt-undertittel"/>
      </w:pPr>
      <w:r>
        <w:t>Mål for ordningen</w:t>
      </w:r>
    </w:p>
    <w:p w:rsidR="00880768" w:rsidRDefault="00880768" w:rsidP="00880768">
      <w:r>
        <w:t>Formålet med ordningen er å gi støtte til virksomhet, tiltak eller samarbeid internasjonalt som u</w:t>
      </w:r>
      <w:r>
        <w:t>n</w:t>
      </w:r>
      <w:r>
        <w:t>derstøtter departementets mål og oppgaver eller som tjener Norges interesser for øvrig innenfor petroleums- og energiområdet, herunder klima og CO</w:t>
      </w:r>
      <w:r>
        <w:rPr>
          <w:rStyle w:val="skrift-senket"/>
          <w:spacing w:val="-2"/>
          <w:sz w:val="21"/>
          <w:szCs w:val="21"/>
        </w:rPr>
        <w:t>2</w:t>
      </w:r>
      <w:r>
        <w:t xml:space="preserve">-håndtering. Under ordningen ytes tilskudd </w:t>
      </w:r>
      <w:r>
        <w:lastRenderedPageBreak/>
        <w:t>som staten gir som medlem av en internasjonal organisasjon, etter avtale med andre land eller støtte til frivillige organisasjoner om oppfølging av internasjonale samarbeids- og utviklingstiltak.</w:t>
      </w:r>
    </w:p>
    <w:p w:rsidR="00880768" w:rsidRDefault="00880768" w:rsidP="00880768">
      <w:r>
        <w:t>For CO</w:t>
      </w:r>
      <w:r>
        <w:rPr>
          <w:rStyle w:val="skrift-senket"/>
          <w:sz w:val="21"/>
          <w:szCs w:val="21"/>
        </w:rPr>
        <w:t>2</w:t>
      </w:r>
      <w:r>
        <w:t>-håndtering er det fastsatt følgende særskilte mål:</w:t>
      </w:r>
    </w:p>
    <w:p w:rsidR="00880768" w:rsidRDefault="00880768" w:rsidP="00880768">
      <w:pPr>
        <w:pStyle w:val="Liste"/>
      </w:pPr>
      <w:r>
        <w:t>Økt forståelse for CO</w:t>
      </w:r>
      <w:r>
        <w:rPr>
          <w:rStyle w:val="skrift-senket"/>
          <w:sz w:val="21"/>
          <w:szCs w:val="21"/>
        </w:rPr>
        <w:t>2</w:t>
      </w:r>
      <w:r>
        <w:t>-håndteringsteknologiers potensial for å bidra til reduserte klim</w:t>
      </w:r>
      <w:r>
        <w:t>a</w:t>
      </w:r>
      <w:r>
        <w:t>gassutslipp.</w:t>
      </w:r>
    </w:p>
    <w:p w:rsidR="00880768" w:rsidRDefault="00880768" w:rsidP="00880768">
      <w:pPr>
        <w:pStyle w:val="Liste"/>
      </w:pPr>
      <w:r>
        <w:t>Kunnskapsbygging, kompetanseoverføring og generell kapasitetsbygging internasjonalt, herunder fremme samarbeid om utvikling av rammer og regelverk for transport og lagring av CO</w:t>
      </w:r>
      <w:r>
        <w:rPr>
          <w:rStyle w:val="skrift-senket"/>
          <w:sz w:val="21"/>
          <w:szCs w:val="21"/>
        </w:rPr>
        <w:t>2</w:t>
      </w:r>
      <w:r>
        <w:t>, samt samarbeid om lagring av allerede utskilt CO</w:t>
      </w:r>
      <w:r>
        <w:rPr>
          <w:rStyle w:val="skrift-senket"/>
          <w:sz w:val="21"/>
          <w:szCs w:val="21"/>
        </w:rPr>
        <w:t>2</w:t>
      </w:r>
      <w:r>
        <w:t>.</w:t>
      </w:r>
    </w:p>
    <w:p w:rsidR="00880768" w:rsidRDefault="00880768" w:rsidP="00880768">
      <w:pPr>
        <w:pStyle w:val="Liste"/>
      </w:pPr>
      <w:r>
        <w:t>Heve andre lands myndigheter og andre, aktuelle aktørers kompetanse med hensyn til nø</w:t>
      </w:r>
      <w:r>
        <w:t>d</w:t>
      </w:r>
      <w:r>
        <w:t>vendig regulering og tilrettelegging for CO</w:t>
      </w:r>
      <w:r>
        <w:rPr>
          <w:rStyle w:val="skrift-senket"/>
          <w:sz w:val="21"/>
          <w:szCs w:val="21"/>
        </w:rPr>
        <w:t>2</w:t>
      </w:r>
      <w:r>
        <w:t>-håndtering.</w:t>
      </w:r>
    </w:p>
    <w:p w:rsidR="00880768" w:rsidRDefault="00880768" w:rsidP="00880768">
      <w:pPr>
        <w:pStyle w:val="Liste"/>
      </w:pPr>
      <w:r>
        <w:t>Anvendelse av CO</w:t>
      </w:r>
      <w:r>
        <w:rPr>
          <w:rStyle w:val="skrift-senket"/>
          <w:sz w:val="21"/>
          <w:szCs w:val="21"/>
        </w:rPr>
        <w:t>2</w:t>
      </w:r>
      <w:r>
        <w:t>-håndteringsteknologier, herunder støtte til pilot- og demonstrasjon</w:t>
      </w:r>
      <w:r>
        <w:t>s</w:t>
      </w:r>
      <w:r>
        <w:t>prosjekter.</w:t>
      </w:r>
    </w:p>
    <w:p w:rsidR="00880768" w:rsidRDefault="00880768" w:rsidP="00880768">
      <w:pPr>
        <w:pStyle w:val="avsnitt-undertittel"/>
      </w:pPr>
      <w:r>
        <w:t>Tildelings- og oppfølgingskriterier</w:t>
      </w:r>
    </w:p>
    <w:p w:rsidR="00880768" w:rsidRDefault="00880768" w:rsidP="00880768">
      <w:r>
        <w:t>Olje- og energidepartementet kan gi tilskudd til internasjonale samarbeids- og utviklingstiltak i</w:t>
      </w:r>
      <w:r>
        <w:t>n</w:t>
      </w:r>
      <w:r>
        <w:t>nenfor rammen av internasjonale organisasjoner eller organisasjoner i Norge som står for oppfø</w:t>
      </w:r>
      <w:r>
        <w:t>l</w:t>
      </w:r>
      <w:r>
        <w:t>ging av internasjonale prosjekter eller initiativ i Norge eller internasjonalt etter en særskilt vurd</w:t>
      </w:r>
      <w:r>
        <w:t>e</w:t>
      </w:r>
      <w:r>
        <w:t>ring uten forutgående kunngjøring. Det kan blant annet omfatte prosjekter og søknader fra ekse</w:t>
      </w:r>
      <w:r>
        <w:t>m</w:t>
      </w:r>
      <w:r>
        <w:t>pelvis det internasjonale energibyrået (IEA) eller samarbeid med lignende internasjonale organis</w:t>
      </w:r>
      <w:r>
        <w:t>a</w:t>
      </w:r>
      <w:r>
        <w:t>sjoner.</w:t>
      </w:r>
    </w:p>
    <w:p w:rsidR="00880768" w:rsidRDefault="00880768" w:rsidP="00880768">
      <w:r>
        <w:t>Tiltak som gis støtte må ha et internasjonalt rettet formål eller innebære oppfølging av internasj</w:t>
      </w:r>
      <w:r>
        <w:t>o</w:t>
      </w:r>
      <w:r>
        <w:t>nale prosjekter eller initiativ i Norge, eksempelvis kompetanseoppbygging og kunnskapsspredning om klima og energi. Tiltak som vil bli prioritert skal understøtte departementets mål og oppgaver. Det vil bli lagt vekt på å støtte prosjekter og prosesser der forholdene ligger godt til rette for å oppnå resultater eller etablere kunnskap gjennom internasjonalt samarbeid og fellesfinansiering.</w:t>
      </w:r>
    </w:p>
    <w:p w:rsidR="00880768" w:rsidRDefault="00880768" w:rsidP="00880768">
      <w:r>
        <w:t>Det vil også være aktuelt å yte tilskudd til aktiviteter som bidrar til økt kunnskap og informasjon</w:t>
      </w:r>
      <w:r>
        <w:t>s</w:t>
      </w:r>
      <w:r>
        <w:t>spredning om CO</w:t>
      </w:r>
      <w:r>
        <w:rPr>
          <w:rStyle w:val="skrift-senket"/>
          <w:spacing w:val="-2"/>
          <w:sz w:val="21"/>
          <w:szCs w:val="21"/>
        </w:rPr>
        <w:t>2</w:t>
      </w:r>
      <w:r>
        <w:t>-håndtering som klimatiltak. Det er foretatt en prioritering av viktige utslippsland hvor regjeringen ønsker en særskilt innsats innen CO</w:t>
      </w:r>
      <w:r>
        <w:rPr>
          <w:rStyle w:val="skrift-senket"/>
          <w:spacing w:val="-2"/>
          <w:sz w:val="21"/>
          <w:szCs w:val="21"/>
        </w:rPr>
        <w:t>2</w:t>
      </w:r>
      <w:r>
        <w:t>-håndtering. Dette gjelder det sørlige Afrika, Indonesia, Kina og Gulfstatene. Det vil være spesielt aktuelt å støtte prosjekter og aktiviteter som bidrar til økt kunnskap om og aksept for CO</w:t>
      </w:r>
      <w:r>
        <w:rPr>
          <w:rStyle w:val="skrift-senket"/>
          <w:spacing w:val="-2"/>
          <w:sz w:val="21"/>
          <w:szCs w:val="21"/>
        </w:rPr>
        <w:t>2</w:t>
      </w:r>
      <w:r>
        <w:t>-håndtering som klimatiltak i disse landene.</w:t>
      </w:r>
    </w:p>
    <w:p w:rsidR="00880768" w:rsidRDefault="00880768" w:rsidP="00880768">
      <w:pPr>
        <w:pStyle w:val="avsnitt-undertittel"/>
      </w:pPr>
      <w:r>
        <w:t>Resultatrapport 2017</w:t>
      </w:r>
    </w:p>
    <w:p w:rsidR="00880768" w:rsidRDefault="00880768" w:rsidP="00880768">
      <w:pPr>
        <w:pStyle w:val="avsnitt-under-undertittel"/>
      </w:pPr>
      <w:r>
        <w:t>Demonstrasjon av fullskala CO</w:t>
      </w:r>
      <w:r>
        <w:rPr>
          <w:rStyle w:val="skrift-senket"/>
          <w:sz w:val="21"/>
          <w:szCs w:val="21"/>
        </w:rPr>
        <w:t>2</w:t>
      </w:r>
      <w:r>
        <w:t>-håndtering i Europa</w:t>
      </w:r>
    </w:p>
    <w:p w:rsidR="00880768" w:rsidRDefault="00880768" w:rsidP="00880768">
      <w:r>
        <w:t>Regjeringen svarte i 2014 på en forespørsel fra Europakommisjonen at Norge er innstilt på å delta i et samarbeid med minst to andre europeiske land for å bidra til realisering av et europeisk CO</w:t>
      </w:r>
      <w:r>
        <w:rPr>
          <w:rStyle w:val="skrift-senket"/>
          <w:sz w:val="21"/>
          <w:szCs w:val="21"/>
        </w:rPr>
        <w:t>2</w:t>
      </w:r>
      <w:r>
        <w:t>-fangst- og -lagringsprosjekt. Samarbeidet Europakommisjonen skisserte er bygget på støtte gjennom forskningsprogrammet Horizon 2020s ERA-NET Cofund-ordning. Denne ordningen gjør det mulig for tre eller flere land å søke om finansiell støtte fra Europakommisjonen til gjennomf</w:t>
      </w:r>
      <w:r>
        <w:t>ø</w:t>
      </w:r>
      <w:r>
        <w:t xml:space="preserve">ring av en felles utlysning innenfor bestemte tema. I denne sammenheng vil det være aktuelt med en felles utlysning som kan støtte oppstarts-, test- og driftsfasen av </w:t>
      </w:r>
      <w:proofErr w:type="gramStart"/>
      <w:r>
        <w:t>et</w:t>
      </w:r>
      <w:proofErr w:type="gramEnd"/>
      <w:r>
        <w:t xml:space="preserve"> storskala demonstrasjonspr</w:t>
      </w:r>
      <w:r>
        <w:t>o</w:t>
      </w:r>
      <w:r>
        <w:t>sjekt for CO</w:t>
      </w:r>
      <w:r>
        <w:rPr>
          <w:rStyle w:val="skrift-senket"/>
          <w:sz w:val="21"/>
          <w:szCs w:val="21"/>
        </w:rPr>
        <w:t>2</w:t>
      </w:r>
      <w:r>
        <w:t xml:space="preserve">-håndtering i en avgrenset periode. </w:t>
      </w:r>
    </w:p>
    <w:p w:rsidR="00880768" w:rsidRDefault="00880768" w:rsidP="00880768">
      <w:r>
        <w:t>Norge vil opprettholde dialogen med Kommisjonen og relevante lands myndigheter om fremtidige demonstrasjonsprosjekter for CO</w:t>
      </w:r>
      <w:r>
        <w:rPr>
          <w:rStyle w:val="skrift-senket"/>
          <w:sz w:val="21"/>
          <w:szCs w:val="21"/>
        </w:rPr>
        <w:t>2</w:t>
      </w:r>
      <w:r>
        <w:t xml:space="preserve">-håndtering i Europa og mulig støtte gjennom Horizon 2020. </w:t>
      </w:r>
    </w:p>
    <w:p w:rsidR="00880768" w:rsidRDefault="00880768" w:rsidP="00880768">
      <w:pPr>
        <w:pStyle w:val="avsnitt-under-undertittel"/>
      </w:pPr>
      <w:r>
        <w:lastRenderedPageBreak/>
        <w:t xml:space="preserve">Finnfjord AS </w:t>
      </w:r>
    </w:p>
    <w:p w:rsidR="00880768" w:rsidRDefault="00880768" w:rsidP="00880768">
      <w:r>
        <w:t xml:space="preserve">Departementet har utbetalt 1 mill. kroner i tilskudd til Finnfjord AS. Finnfjord AS og Universitetet i Tromsø samarbeider om et prosjekt som tar sikte på </w:t>
      </w:r>
      <w:proofErr w:type="gramStart"/>
      <w:r>
        <w:t>benytte</w:t>
      </w:r>
      <w:proofErr w:type="gramEnd"/>
      <w:r>
        <w:t xml:space="preserve"> CO</w:t>
      </w:r>
      <w:r>
        <w:rPr>
          <w:rStyle w:val="skrift-senket"/>
          <w:sz w:val="21"/>
          <w:szCs w:val="21"/>
        </w:rPr>
        <w:t>2</w:t>
      </w:r>
      <w:r>
        <w:t xml:space="preserve"> fra røykgass til algeproduksjon. Alger kan inngå som råstoff i for eksempel fiskefôr. Etter en gjennomført pilotfase er det besluttet å gå videre til en fullskalafase som vil kunne legge til rette for fullskala utnyttelse av CO</w:t>
      </w:r>
      <w:r>
        <w:rPr>
          <w:rStyle w:val="skrift-senket"/>
          <w:sz w:val="21"/>
          <w:szCs w:val="21"/>
        </w:rPr>
        <w:t>2</w:t>
      </w:r>
      <w:r>
        <w:t xml:space="preserve"> i industriell skala.</w:t>
      </w:r>
    </w:p>
    <w:p w:rsidR="00880768" w:rsidRDefault="00880768" w:rsidP="00880768">
      <w:pPr>
        <w:pStyle w:val="avsnitt-under-undertittel"/>
      </w:pPr>
      <w:r>
        <w:t>Innovasjon Norge i Brasil</w:t>
      </w:r>
    </w:p>
    <w:p w:rsidR="00880768" w:rsidRDefault="00880768" w:rsidP="00880768">
      <w:r>
        <w:t>Departementet har utbetalt 200 000 kroner i tilskudd til en bilateral konferanse om forsknings- og teknologisamarbeid innen olje og gass mellom Brasil og Norge.</w:t>
      </w:r>
    </w:p>
    <w:p w:rsidR="00880768" w:rsidRDefault="00880768" w:rsidP="00880768">
      <w:r>
        <w:t>I tillegg har departementet har foretatt sluttutbetalinger på totalt 115 000 kroner til de bilaterale konferansene som ble arrangert i 2015 og 2016.</w:t>
      </w:r>
    </w:p>
    <w:p w:rsidR="00880768" w:rsidRDefault="00880768" w:rsidP="00880768">
      <w:pPr>
        <w:pStyle w:val="avsnitt-under-undertittel"/>
      </w:pPr>
      <w:r>
        <w:t>European Youth Parliament Norway</w:t>
      </w:r>
    </w:p>
    <w:p w:rsidR="00880768" w:rsidRDefault="00880768" w:rsidP="00880768">
      <w:r>
        <w:t>Departementet har utbetalt 120 000 kroner i tilskudd til konferansen «Trondheim &amp; Røros 2017», den 84. Internasjonale Sesjon i Europeisk Ungdomsparlament. Tema for konferansen var bærekra</w:t>
      </w:r>
      <w:r>
        <w:t>f</w:t>
      </w:r>
      <w:r>
        <w:t>tig produksjon av fossil energi.</w:t>
      </w:r>
    </w:p>
    <w:p w:rsidR="00880768" w:rsidRDefault="00880768" w:rsidP="00880768">
      <w:pPr>
        <w:pStyle w:val="avsnitt-under-undertittel"/>
      </w:pPr>
      <w:r>
        <w:t>Den Norske Damkomite</w:t>
      </w:r>
    </w:p>
    <w:p w:rsidR="00880768" w:rsidRDefault="00880768" w:rsidP="00880768">
      <w:r>
        <w:t>Departementet har foretatt en sluttutbetaling på 50 000 kroner til konferansen ICOLD 83rd Annual Meeting and 25th Congress i 2015 og HydroPower'15.</w:t>
      </w:r>
      <w:r>
        <w:br/>
      </w:r>
    </w:p>
    <w:p w:rsidR="00880768" w:rsidRDefault="00880768" w:rsidP="00880768">
      <w:pPr>
        <w:pStyle w:val="b-budkaptit"/>
      </w:pPr>
      <w:r>
        <w:t>Kap. 4800 Olje- og energidepartementet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880768" w:rsidTr="0034191D">
        <w:trPr>
          <w:trHeight w:val="640"/>
        </w:trPr>
        <w:tc>
          <w:tcPr>
            <w:tcW w:w="1140" w:type="dxa"/>
            <w:shd w:val="clear" w:color="auto" w:fill="FFFFFF"/>
          </w:tcPr>
          <w:p w:rsidR="00880768" w:rsidRDefault="00880768" w:rsidP="0034191D">
            <w:pPr>
              <w:pStyle w:val="Tabellnavn"/>
            </w:pPr>
            <w:r>
              <w:t>KPAL</w:t>
            </w:r>
          </w:p>
        </w:tc>
        <w:tc>
          <w:tcPr>
            <w:tcW w:w="4560" w:type="dxa"/>
          </w:tcPr>
          <w:p w:rsidR="00880768" w:rsidRDefault="00880768" w:rsidP="0034191D">
            <w:pPr>
              <w:pStyle w:val="Tabellnavn"/>
            </w:pPr>
          </w:p>
        </w:tc>
        <w:tc>
          <w:tcPr>
            <w:tcW w:w="1140" w:type="dxa"/>
          </w:tcPr>
          <w:p w:rsidR="00880768" w:rsidRDefault="00880768" w:rsidP="0034191D">
            <w:pPr>
              <w:pStyle w:val="Tabellnavn"/>
              <w:jc w:val="right"/>
            </w:pPr>
          </w:p>
        </w:tc>
        <w:tc>
          <w:tcPr>
            <w:tcW w:w="1140" w:type="dxa"/>
          </w:tcPr>
          <w:p w:rsidR="00880768" w:rsidRDefault="00880768" w:rsidP="0034191D">
            <w:pPr>
              <w:pStyle w:val="Tabellnavn"/>
              <w:jc w:val="right"/>
            </w:pPr>
          </w:p>
        </w:tc>
        <w:tc>
          <w:tcPr>
            <w:tcW w:w="1140" w:type="dxa"/>
          </w:tcPr>
          <w:p w:rsidR="00880768" w:rsidRDefault="00880768" w:rsidP="0034191D">
            <w:pPr>
              <w:jc w:val="right"/>
            </w:pPr>
            <w:r>
              <w:t>(i 1 000 kr)</w:t>
            </w:r>
          </w:p>
        </w:tc>
      </w:tr>
      <w:tr w:rsidR="00880768" w:rsidTr="0034191D">
        <w:trPr>
          <w:trHeight w:val="600"/>
        </w:trPr>
        <w:tc>
          <w:tcPr>
            <w:tcW w:w="1140" w:type="dxa"/>
          </w:tcPr>
          <w:p w:rsidR="00880768" w:rsidRDefault="00880768" w:rsidP="0034191D">
            <w:r>
              <w:t>Post</w:t>
            </w:r>
          </w:p>
        </w:tc>
        <w:tc>
          <w:tcPr>
            <w:tcW w:w="4560" w:type="dxa"/>
          </w:tcPr>
          <w:p w:rsidR="00880768" w:rsidRDefault="00880768" w:rsidP="0034191D">
            <w:r>
              <w:t>Betegnelse</w:t>
            </w:r>
          </w:p>
        </w:tc>
        <w:tc>
          <w:tcPr>
            <w:tcW w:w="1140" w:type="dxa"/>
          </w:tcPr>
          <w:p w:rsidR="00880768" w:rsidRDefault="00880768" w:rsidP="0034191D">
            <w:pPr>
              <w:jc w:val="right"/>
            </w:pPr>
            <w:r>
              <w:t>Reg</w:t>
            </w:r>
            <w:r>
              <w:t>n</w:t>
            </w:r>
            <w:r>
              <w:t>skap 2017</w:t>
            </w:r>
          </w:p>
        </w:tc>
        <w:tc>
          <w:tcPr>
            <w:tcW w:w="1140" w:type="dxa"/>
          </w:tcPr>
          <w:p w:rsidR="00880768" w:rsidRDefault="00880768" w:rsidP="0034191D">
            <w:pPr>
              <w:jc w:val="right"/>
            </w:pPr>
            <w:r>
              <w:t xml:space="preserve">Saldert </w:t>
            </w:r>
            <w:r>
              <w:rPr>
                <w:sz w:val="22"/>
              </w:rPr>
              <w:br/>
            </w:r>
            <w:r>
              <w:t>budsjett 2018</w:t>
            </w:r>
          </w:p>
        </w:tc>
        <w:tc>
          <w:tcPr>
            <w:tcW w:w="1140" w:type="dxa"/>
          </w:tcPr>
          <w:p w:rsidR="00880768" w:rsidRDefault="00880768" w:rsidP="0034191D">
            <w:pPr>
              <w:jc w:val="right"/>
            </w:pPr>
            <w:r>
              <w:t xml:space="preserve">Forslag </w:t>
            </w:r>
            <w:r>
              <w:rPr>
                <w:sz w:val="22"/>
              </w:rPr>
              <w:br/>
            </w:r>
            <w:r>
              <w:t>2019</w:t>
            </w:r>
          </w:p>
        </w:tc>
      </w:tr>
      <w:tr w:rsidR="00880768" w:rsidTr="0034191D">
        <w:trPr>
          <w:trHeight w:val="380"/>
        </w:trPr>
        <w:tc>
          <w:tcPr>
            <w:tcW w:w="1140" w:type="dxa"/>
          </w:tcPr>
          <w:p w:rsidR="00880768" w:rsidRDefault="00880768" w:rsidP="0034191D">
            <w:r>
              <w:t>02</w:t>
            </w:r>
          </w:p>
        </w:tc>
        <w:tc>
          <w:tcPr>
            <w:tcW w:w="4560" w:type="dxa"/>
          </w:tcPr>
          <w:p w:rsidR="00880768" w:rsidRDefault="00880768" w:rsidP="0034191D">
            <w:r>
              <w:t xml:space="preserve">Ymse inntekter </w:t>
            </w:r>
          </w:p>
        </w:tc>
        <w:tc>
          <w:tcPr>
            <w:tcW w:w="1140" w:type="dxa"/>
          </w:tcPr>
          <w:p w:rsidR="00880768" w:rsidRDefault="00880768" w:rsidP="0034191D">
            <w:pPr>
              <w:jc w:val="right"/>
            </w:pPr>
            <w:r>
              <w:t>480</w:t>
            </w:r>
          </w:p>
        </w:tc>
        <w:tc>
          <w:tcPr>
            <w:tcW w:w="1140" w:type="dxa"/>
          </w:tcPr>
          <w:p w:rsidR="00880768" w:rsidRDefault="00880768" w:rsidP="0034191D">
            <w:pPr>
              <w:jc w:val="right"/>
            </w:pPr>
          </w:p>
        </w:tc>
        <w:tc>
          <w:tcPr>
            <w:tcW w:w="1140" w:type="dxa"/>
          </w:tcPr>
          <w:p w:rsidR="00880768" w:rsidRDefault="00880768" w:rsidP="0034191D">
            <w:pPr>
              <w:jc w:val="right"/>
            </w:pPr>
          </w:p>
        </w:tc>
      </w:tr>
      <w:tr w:rsidR="00880768" w:rsidTr="0034191D">
        <w:trPr>
          <w:trHeight w:val="380"/>
        </w:trPr>
        <w:tc>
          <w:tcPr>
            <w:tcW w:w="1140" w:type="dxa"/>
          </w:tcPr>
          <w:p w:rsidR="00880768" w:rsidRDefault="00880768" w:rsidP="0034191D">
            <w:r>
              <w:t>10</w:t>
            </w:r>
          </w:p>
        </w:tc>
        <w:tc>
          <w:tcPr>
            <w:tcW w:w="4560" w:type="dxa"/>
          </w:tcPr>
          <w:p w:rsidR="00880768" w:rsidRDefault="00880768" w:rsidP="0034191D">
            <w:r>
              <w:t xml:space="preserve">Refusjoner </w:t>
            </w:r>
          </w:p>
        </w:tc>
        <w:tc>
          <w:tcPr>
            <w:tcW w:w="1140" w:type="dxa"/>
          </w:tcPr>
          <w:p w:rsidR="00880768" w:rsidRDefault="00880768" w:rsidP="0034191D">
            <w:pPr>
              <w:jc w:val="right"/>
            </w:pPr>
            <w:r>
              <w:t>904</w:t>
            </w:r>
          </w:p>
        </w:tc>
        <w:tc>
          <w:tcPr>
            <w:tcW w:w="1140" w:type="dxa"/>
          </w:tcPr>
          <w:p w:rsidR="00880768" w:rsidRDefault="00880768" w:rsidP="0034191D">
            <w:pPr>
              <w:jc w:val="right"/>
            </w:pPr>
            <w:r>
              <w:t>702</w:t>
            </w:r>
          </w:p>
        </w:tc>
        <w:tc>
          <w:tcPr>
            <w:tcW w:w="1140" w:type="dxa"/>
          </w:tcPr>
          <w:p w:rsidR="00880768" w:rsidRDefault="00880768" w:rsidP="0034191D">
            <w:pPr>
              <w:jc w:val="right"/>
            </w:pPr>
            <w:r>
              <w:t>683</w:t>
            </w:r>
          </w:p>
        </w:tc>
      </w:tr>
      <w:tr w:rsidR="00880768" w:rsidTr="0034191D">
        <w:trPr>
          <w:trHeight w:val="380"/>
        </w:trPr>
        <w:tc>
          <w:tcPr>
            <w:tcW w:w="1140" w:type="dxa"/>
          </w:tcPr>
          <w:p w:rsidR="00880768" w:rsidRDefault="00880768" w:rsidP="0034191D">
            <w:r>
              <w:t>70</w:t>
            </w:r>
          </w:p>
        </w:tc>
        <w:tc>
          <w:tcPr>
            <w:tcW w:w="4560" w:type="dxa"/>
          </w:tcPr>
          <w:p w:rsidR="00880768" w:rsidRDefault="00880768" w:rsidP="0034191D">
            <w:r>
              <w:t xml:space="preserve">Garantiprovisjon, Gassco </w:t>
            </w:r>
          </w:p>
        </w:tc>
        <w:tc>
          <w:tcPr>
            <w:tcW w:w="1140" w:type="dxa"/>
          </w:tcPr>
          <w:p w:rsidR="00880768" w:rsidRDefault="00880768" w:rsidP="0034191D">
            <w:pPr>
              <w:jc w:val="right"/>
            </w:pPr>
            <w:r>
              <w:t>1 418</w:t>
            </w:r>
          </w:p>
        </w:tc>
        <w:tc>
          <w:tcPr>
            <w:tcW w:w="1140" w:type="dxa"/>
          </w:tcPr>
          <w:p w:rsidR="00880768" w:rsidRDefault="00880768" w:rsidP="0034191D">
            <w:pPr>
              <w:jc w:val="right"/>
            </w:pPr>
            <w:r>
              <w:t>1 450</w:t>
            </w:r>
          </w:p>
        </w:tc>
        <w:tc>
          <w:tcPr>
            <w:tcW w:w="1140" w:type="dxa"/>
          </w:tcPr>
          <w:p w:rsidR="00880768" w:rsidRDefault="00880768" w:rsidP="0034191D">
            <w:pPr>
              <w:jc w:val="right"/>
            </w:pPr>
            <w:r>
              <w:t>1 400</w:t>
            </w:r>
          </w:p>
        </w:tc>
      </w:tr>
      <w:tr w:rsidR="00880768" w:rsidTr="0034191D">
        <w:trPr>
          <w:trHeight w:val="380"/>
        </w:trPr>
        <w:tc>
          <w:tcPr>
            <w:tcW w:w="1140" w:type="dxa"/>
          </w:tcPr>
          <w:p w:rsidR="00880768" w:rsidRDefault="00880768" w:rsidP="0034191D"/>
        </w:tc>
        <w:tc>
          <w:tcPr>
            <w:tcW w:w="4560" w:type="dxa"/>
          </w:tcPr>
          <w:p w:rsidR="00880768" w:rsidRDefault="00880768" w:rsidP="0034191D">
            <w:r>
              <w:t>Sum kap. 4800</w:t>
            </w:r>
          </w:p>
        </w:tc>
        <w:tc>
          <w:tcPr>
            <w:tcW w:w="1140" w:type="dxa"/>
          </w:tcPr>
          <w:p w:rsidR="00880768" w:rsidRDefault="00880768" w:rsidP="0034191D">
            <w:pPr>
              <w:jc w:val="right"/>
            </w:pPr>
            <w:r>
              <w:t>2 802</w:t>
            </w:r>
          </w:p>
        </w:tc>
        <w:tc>
          <w:tcPr>
            <w:tcW w:w="1140" w:type="dxa"/>
          </w:tcPr>
          <w:p w:rsidR="00880768" w:rsidRDefault="00880768" w:rsidP="0034191D">
            <w:pPr>
              <w:jc w:val="right"/>
            </w:pPr>
            <w:r>
              <w:t>2 152</w:t>
            </w:r>
          </w:p>
        </w:tc>
        <w:tc>
          <w:tcPr>
            <w:tcW w:w="1140" w:type="dxa"/>
          </w:tcPr>
          <w:p w:rsidR="00880768" w:rsidRDefault="00880768" w:rsidP="0034191D">
            <w:pPr>
              <w:jc w:val="right"/>
            </w:pPr>
            <w:r>
              <w:t>2 083</w:t>
            </w:r>
          </w:p>
        </w:tc>
      </w:tr>
    </w:tbl>
    <w:p w:rsidR="00880768" w:rsidRDefault="00880768" w:rsidP="00880768">
      <w:pPr>
        <w:pStyle w:val="b-post"/>
      </w:pPr>
      <w:r>
        <w:t>Post 10 Refusjoner</w:t>
      </w:r>
    </w:p>
    <w:p w:rsidR="00880768" w:rsidRDefault="00880768" w:rsidP="00880768">
      <w:r>
        <w:t>Posten omfatter refusjoner fra andre offentlige virksomheter som Olje- og energidepartementet samarbeider med, blant annet NORAD.</w:t>
      </w:r>
    </w:p>
    <w:p w:rsidR="00880768" w:rsidRDefault="00880768" w:rsidP="00880768">
      <w:pPr>
        <w:pStyle w:val="b-post"/>
      </w:pPr>
      <w:r>
        <w:t>Post 70 Garantiprovisjon, Gassco</w:t>
      </w:r>
    </w:p>
    <w:p w:rsidR="00880768" w:rsidRDefault="00880768" w:rsidP="00880768">
      <w:r>
        <w:t>Olje- og energidepartementet har stilt en garanti innenfor en samlet ramme på inntil 1 mrd. kroner for skader og tap på mottaksterminalene på kontinentet som har oppstått som følge av forsettlige handlinger hos ledende personell i Gassco AS.</w:t>
      </w:r>
    </w:p>
    <w:p w:rsidR="00880768" w:rsidRDefault="00880768" w:rsidP="00880768">
      <w:r>
        <w:lastRenderedPageBreak/>
        <w:t>Garantiprovisjonen er satt til 70 prosent av forsikringspremien på Gasscos ordinære ansvarsforsi</w:t>
      </w:r>
      <w:r>
        <w:t>k</w:t>
      </w:r>
      <w:r>
        <w:t xml:space="preserve">ring. </w:t>
      </w:r>
    </w:p>
    <w:p w:rsidR="00880768" w:rsidRDefault="00880768" w:rsidP="00880768">
      <w:pPr>
        <w:pStyle w:val="b-progkat"/>
      </w:pPr>
      <w:r>
        <w:t>Programkategori 18.10 Petroleum</w:t>
      </w:r>
    </w:p>
    <w:p w:rsidR="00880768" w:rsidRDefault="00880768" w:rsidP="00880768">
      <w:pPr>
        <w:pStyle w:val="Undertittel"/>
      </w:pPr>
      <w:r>
        <w:t>Utviklingstrekk</w:t>
      </w:r>
    </w:p>
    <w:p w:rsidR="00880768" w:rsidRDefault="00880768" w:rsidP="00880768">
      <w:pPr>
        <w:pStyle w:val="avsnitt-tittel"/>
      </w:pPr>
      <w:r>
        <w:t>Petroleumssektoren</w:t>
      </w:r>
    </w:p>
    <w:p w:rsidR="00880768" w:rsidRDefault="00880768" w:rsidP="00880768">
      <w:r>
        <w:t>Petroleumsvirksomheten er Norges største næring målt i verdiskaping, statlige inntekter, invest</w:t>
      </w:r>
      <w:r>
        <w:t>e</w:t>
      </w:r>
      <w:r>
        <w:t>ringer og eksportverdi. Virksomheten bidrar til å finansiere velferdsstaten og sysselsetter et betyd</w:t>
      </w:r>
      <w:r>
        <w:t>e</w:t>
      </w:r>
      <w:r>
        <w:t>lig antall personer. Den stimulerer til positiv nærings-, teknologi- og samfunnsutvikling over hele landet. I 2017 utgjorde petroleumssektoren 14 prosent av all verdiskaping i landet og stod for 39 prosent av eksportinntektene. Selv små utbyggingsprosjekter på sokkelen ville være store industr</w:t>
      </w:r>
      <w:r>
        <w:t>i</w:t>
      </w:r>
      <w:r>
        <w:t xml:space="preserve">prosjekter hvis gjennomført på land. </w:t>
      </w:r>
    </w:p>
    <w:p w:rsidR="00880768" w:rsidRDefault="00880768" w:rsidP="00880768">
      <w:r>
        <w:t xml:space="preserve">I 2017 var om lag 170 200 sysselsatte knyttet til petroleumsnæringen, direkte eller indirekte, noe som utgjør 6,1 prosent av samlet sysselsetting. </w:t>
      </w:r>
    </w:p>
    <w:p w:rsidR="00880768" w:rsidRDefault="00880768" w:rsidP="00880768">
      <w:r>
        <w:t>Ressursregnskapet for norsk kontinentalsokkel per 31. desember 2017 viser en økning i anslaget for totale utvinnbare petroleumsvolumer på 1 330 mill. Sm</w:t>
      </w:r>
      <w:r>
        <w:rPr>
          <w:rStyle w:val="skrift-hevet"/>
          <w:sz w:val="21"/>
          <w:szCs w:val="21"/>
        </w:rPr>
        <w:t>3</w:t>
      </w:r>
      <w:r>
        <w:t xml:space="preserve"> o.e. </w:t>
      </w:r>
      <w:proofErr w:type="gramStart"/>
      <w:r>
        <w:t>sammenlignet med fjorårets.</w:t>
      </w:r>
      <w:proofErr w:type="gramEnd"/>
      <w:r>
        <w:t xml:space="preserve"> Ø</w:t>
      </w:r>
      <w:r>
        <w:t>k</w:t>
      </w:r>
      <w:r>
        <w:t>ningen er blant annet basert på Oljedirektoratets nyere kartlegging av deler av de uåpnede områd</w:t>
      </w:r>
      <w:r>
        <w:t>e</w:t>
      </w:r>
      <w:r>
        <w:t>ne i Barentshavet. Totalanslaget er på 15,6 mrd. Sm</w:t>
      </w:r>
      <w:r>
        <w:rPr>
          <w:rStyle w:val="skrift-hevet"/>
          <w:sz w:val="21"/>
          <w:szCs w:val="21"/>
        </w:rPr>
        <w:t>3</w:t>
      </w:r>
      <w:r>
        <w:t xml:space="preserve"> oljeekvivalenter, hvorav 45 prosent er solgt og levert. </w:t>
      </w:r>
    </w:p>
    <w:p w:rsidR="00880768" w:rsidRDefault="00880768" w:rsidP="00880768">
      <w:r>
        <w:t>I 2017 økte petroleumsproduksjonen for fjerde år på rad. Den totale væskeproduksjonen var på 2 mill. fat per dag, noe som er vesentlig lavere enn ved årtusenskiftet. Produksjon av gass satte ny rekord, og stod for mer enn halvparten av den totale petroleumsproduksjonen. Total gassprodu</w:t>
      </w:r>
      <w:r>
        <w:t>k</w:t>
      </w:r>
      <w:r>
        <w:t>sjon var på 124 mrd. Sm</w:t>
      </w:r>
      <w:r>
        <w:rPr>
          <w:rStyle w:val="skrift-hevet"/>
          <w:sz w:val="21"/>
          <w:szCs w:val="21"/>
        </w:rPr>
        <w:t>3</w:t>
      </w:r>
      <w:r>
        <w:t>, hvorav om lag 122 mrd. Sm</w:t>
      </w:r>
      <w:r>
        <w:rPr>
          <w:rStyle w:val="skrift-hevet"/>
          <w:sz w:val="21"/>
          <w:szCs w:val="21"/>
        </w:rPr>
        <w:t>3</w:t>
      </w:r>
      <w:r>
        <w:t xml:space="preserve"> ble eksportert. Av gasseksporten ble mer enn 95 prosent eksportert til mottakerland i Europa via rørledninger, mens resten ble eksportert som LNG til et større marked. </w:t>
      </w:r>
    </w:p>
    <w:p w:rsidR="00880768" w:rsidRDefault="00880768" w:rsidP="00880768">
      <w:r>
        <w:t xml:space="preserve">Økt produksjon har funnet sted samtidig med at driftskostnadene har gått ned, hvilket indikerer at industrien har tatt nødvendige grep for å redusere kostnader og bli mer konkurransedyktig. </w:t>
      </w:r>
    </w:p>
    <w:p w:rsidR="00880768" w:rsidRDefault="00880768" w:rsidP="00880768">
      <w:r>
        <w:t>Samlet investeringsanslag for petroleumsaktiviteten ekskludert lete- og fjerningskostnader er på 139 mrd. kroner i 2019, en økning på 14 mrd. kroner fra anslaget for 2018. Sverdrup- og Cas</w:t>
      </w:r>
      <w:r>
        <w:t>t</w:t>
      </w:r>
      <w:r>
        <w:t>berg-feltene utgjør en betydelig andel av investeringene på kort sikt. Flere prosjekter modnes frem som resultat av at næringen har oppnådd kostnadsreduksjon gjennom effektivisering og konsep</w:t>
      </w:r>
      <w:r>
        <w:t>t</w:t>
      </w:r>
      <w:r>
        <w:t xml:space="preserve">endringer. Ti planer for utbygging og drift ble levert myndighetene i 2017. Utbyggingsplaner for Troll fase 3, andre byggetrinn for Sverdrup-feltet og Nova er innlevert hittil i 2018. </w:t>
      </w:r>
    </w:p>
    <w:p w:rsidR="00880768" w:rsidRDefault="00880768" w:rsidP="00880768">
      <w:r>
        <w:t xml:space="preserve">Anslaget for driftsinvesteringer er noe redusert den neste femårsperioden hovedsakelig grunnet redusert kostnadsnivå som følge av næringens initiativ de siste årene for å effektivisere driften. </w:t>
      </w:r>
    </w:p>
    <w:p w:rsidR="00880768" w:rsidRDefault="00880768" w:rsidP="00880768">
      <w:r>
        <w:t xml:space="preserve">Leting er avgjørende for å påvise nye funn som kan bygges ut i framtida. Aktivitetsnivået på norsk sokkel innen både leting, utbygging og drift ventes fremover fortsatt å være høyt historisk sett. </w:t>
      </w:r>
    </w:p>
    <w:p w:rsidR="00880768" w:rsidRDefault="00880768" w:rsidP="00880768">
      <w:pPr>
        <w:pStyle w:val="avsnitt-tittel"/>
      </w:pPr>
      <w:r>
        <w:t>Olje- og gassmarkedet</w:t>
      </w:r>
    </w:p>
    <w:p w:rsidR="00880768" w:rsidRDefault="00880768" w:rsidP="00880768">
      <w:r>
        <w:t xml:space="preserve">Oljemarkedet er syklisk, og oljeprisen har svingt mye de siste årene. Prisen økte kraftig i årene etter årtusenskiftet til et prisnivå på over 100 USD/fat. Fra andre halvdel av 2014 falt oljeprisen dramatisk, og var i januar 2016 en kort periode under 30 USD/fat. </w:t>
      </w:r>
    </w:p>
    <w:p w:rsidR="00880768" w:rsidRDefault="00880768" w:rsidP="00880768">
      <w:r>
        <w:lastRenderedPageBreak/>
        <w:t>Oljemarkedet har gjennom det siste halve året vært stramt, med sterk vekst i oljeforbruket og en vesentlig mindre økning i samlet oljeproduksjon. Avtalen mellom landene i OPEC, Russland og ti andre produsentland utenfor OPEC om kutt i oljeproduksjonen har i stor grad blitt overholdt siden den trådte i kraft i januar 2017. Dette har bidratt til å redusere det store lageroverhenget som eksi</w:t>
      </w:r>
      <w:r>
        <w:t>s</w:t>
      </w:r>
      <w:r>
        <w:t>terte. Det har ført til at det nå er bedre balanse mellom tilbud og etterspørsel. I tillegg har blant a</w:t>
      </w:r>
      <w:r>
        <w:t>n</w:t>
      </w:r>
      <w:r>
        <w:t>net politisk og sosial uro i Venezuela og økt geopolitisk risiko i Midtøsten bidratt til at prisene har steget jevnt gjennom 2017 og hittil i 2018. Gjennomsnittlig pris for Nordsjøolje i 2017 var 54 USD/fat. Gjennomsnittet for første halvår 2018 var 71 USD/fat.</w:t>
      </w:r>
    </w:p>
    <w:p w:rsidR="00880768" w:rsidRDefault="00880768" w:rsidP="00880768">
      <w:r>
        <w:t xml:space="preserve">Etterspørselsveksten er forventet å holde seg robust de nærmeste årene drevet av solid økonomisk vekst globalt. </w:t>
      </w:r>
    </w:p>
    <w:p w:rsidR="00880768" w:rsidRDefault="00880768" w:rsidP="00880768">
      <w:r>
        <w:t>Globalt er det mange store oljefelt med fallende produksjon, noe som gjør at det fortløpende kreves betydelig ny produksjon fra nye utbygginger bare for å opprettholde dagens produksjonsnivå. Det forventes fortsatt betydelig vekst i amerikansk skiferoljeproduksjon, samtidig som produksjonen fra nye konvensjonelle oljeprosjekter starter opp i Brasil og Canada. Oljemarkedet vil være preget av hvordan OPEC og deres samarbeidspartnere håndterer kuttavtalen i 2019. Videre påvirkes ma</w:t>
      </w:r>
      <w:r>
        <w:t>r</w:t>
      </w:r>
      <w:r>
        <w:t>kedet av situasjonen i store oljeeksporterende land som Irak, Iran, Venezuela, Nigeria og Libya, hvor det er politisk uro og potensial for redusert produksjon. Det er blant annet stor usikkerhet knyttet til Irans fremtidige oljeeksport etter at USA trakk seg fra atomavtalen. Som følge av pri</w:t>
      </w:r>
      <w:r>
        <w:t>s</w:t>
      </w:r>
      <w:r>
        <w:t xml:space="preserve">fallet, kuttet selskapene kraftig i sine investeringer og en rekke prosjekter ble utsatt. Dette vil gi utslag i produksjonsutviklingen et par år frem i tid. </w:t>
      </w:r>
    </w:p>
    <w:p w:rsidR="00880768" w:rsidRDefault="00880768" w:rsidP="00880768">
      <w:r>
        <w:t>Særlig som følge av forhold på tilbudssiden, er det således betydelig usikkerhet om markedsutvi</w:t>
      </w:r>
      <w:r>
        <w:t>k</w:t>
      </w:r>
      <w:r>
        <w:t>lingen og oljeprisen de nærmeste årene. Den internasjonale sjøfartsorganisasjonens kraftige in</w:t>
      </w:r>
      <w:r>
        <w:t>n</w:t>
      </w:r>
      <w:r>
        <w:t>stramming av svovelkrav for marine bunkersoljer fra 2020, skaper ekstra kortsiktig usikkerhet i oljemarkedet framover.</w:t>
      </w:r>
    </w:p>
    <w:p w:rsidR="00880768" w:rsidRDefault="00880768" w:rsidP="00880768">
      <w:r>
        <w:t>De langsiktige globale tilbuds- og etterspørselsforholdene tilsier at oljeprisnivået over tid vil u</w:t>
      </w:r>
      <w:r>
        <w:t>n</w:t>
      </w:r>
      <w:r>
        <w:t>derstøtte en lønnsom utvikling av ressursbasen på norsk sokkel, jf. Prop. 80 S (2017–2018).</w:t>
      </w:r>
    </w:p>
    <w:p w:rsidR="00880768" w:rsidRDefault="00880768" w:rsidP="00880768">
      <w:r>
        <w:t>Spotprisene på gass i det europeiske markedet var i første halvår 2018 om lag 7,5 USD/MMBtu eller 2,3 NOK/Sm</w:t>
      </w:r>
      <w:r>
        <w:rPr>
          <w:rStyle w:val="skrift-hevet"/>
          <w:sz w:val="21"/>
          <w:szCs w:val="21"/>
        </w:rPr>
        <w:t>3</w:t>
      </w:r>
      <w:r>
        <w:t>. Det er høyere enn i 2017, da gjennomsnittsprisen for hele året var om lag 5,7 USD/MMBtu og 1,8 NOK/Sm</w:t>
      </w:r>
      <w:r>
        <w:rPr>
          <w:rStyle w:val="skrift-hevet"/>
          <w:sz w:val="21"/>
          <w:szCs w:val="21"/>
        </w:rPr>
        <w:t>3</w:t>
      </w:r>
      <w:r>
        <w:t xml:space="preserve">. En kald vinter førte til høy gassetterspørsel og nedbygging av gasslagrene i Europa, samt at værforholdene i sommermånedene har bidratt til de relativt høye markedsprisene hittil i 2018. </w:t>
      </w:r>
    </w:p>
    <w:p w:rsidR="00880768" w:rsidRDefault="00880768" w:rsidP="00880768">
      <w:r>
        <w:t>Etterspørselen etter gass i Europa er relativt stabil, men med store variasjoner mellom sommer- og vinterhalvåret. Fremover er det muligheter for økt bruk av gass i kraftsektoren, betinget særlig av utviklingen for kullbasert kraftproduksjon.</w:t>
      </w:r>
    </w:p>
    <w:p w:rsidR="00880768" w:rsidRDefault="00880768" w:rsidP="00880768">
      <w:r>
        <w:t>På tilbudssiden er gassproduksjonen i europeiske produsentland – som Nederland og Storbritannia, i tilbakegang. Norsk produksjon har vokst kraftig de siste 20 årene og er nå på platå. Mindre ege</w:t>
      </w:r>
      <w:r>
        <w:t>n</w:t>
      </w:r>
      <w:r>
        <w:t xml:space="preserve">produksjon av gass i EU-landene bidrar til å øke disse landenes behov for å importere gass fra Norge og andre kilder. Tilbudet av LNG på verdensmarkedet er de nærmeste årene økende. Det er særlig land som USA og Australia som bidrar til produksjonsøkningen. Dette vil gi økt tilgang på LNG også i det europeiske markedet og vil kunne legge en demper på gassprisene de nærmeste årene. Etterspørselen etter LNG, særlig fra Kina og Asia ellers, øker imidlertid også mye, så det er usikkert hvor mye LNG som faktisk vil gå til Europa. </w:t>
      </w:r>
    </w:p>
    <w:p w:rsidR="00880768" w:rsidRDefault="00880768" w:rsidP="00880768">
      <w:r>
        <w:t>Norsk gassproduksjon er lønnsom og konkurransedyktig også med vesentlig lavere priser enn vi har hatt i 2017 og 2018, i kraft av nærhet til det europeiske markedet og en godt utbygget infr</w:t>
      </w:r>
      <w:r>
        <w:t>a</w:t>
      </w:r>
      <w:r>
        <w:t>struktur med lave kostnader, jf. Prop. 80 S (2017–2018).</w:t>
      </w:r>
    </w:p>
    <w:p w:rsidR="00880768" w:rsidRDefault="00880768" w:rsidP="00880768">
      <w:pPr>
        <w:pStyle w:val="Undertittel"/>
      </w:pPr>
      <w:r>
        <w:lastRenderedPageBreak/>
        <w:t>Hovedmål for petroleumspolitikken</w:t>
      </w:r>
    </w:p>
    <w:p w:rsidR="00880768" w:rsidRDefault="00880768" w:rsidP="00880768">
      <w:r>
        <w:t xml:space="preserve">Hovedmålet i petroleumspolitikken er å legge til rette for lønnsom produksjon av olje og gass og verdiskaping i et langsiktig perspektiv. Samtidig skal en stor andel av verdiskapingen tilfalle den norske stat, og forvaltningen av ressursene skal skje innenfor forsvarlige rammer når det gjelder helse, miljø og sikkerhet. Regjeringen vil legge til rette for at norsk petroleumsindustri fortsatt skal være ledende innen helse, miljø og sikkerhet. Regjeringens petroleumspolitikk er presentert i Prop. 80 S (2017–2018). Olje- og energidepartementet har et overordnet ansvar for at politikkmålene nås. </w:t>
      </w:r>
    </w:p>
    <w:p w:rsidR="00880768" w:rsidRDefault="00880768" w:rsidP="00880768">
      <w:r>
        <w:t>Det legges det best til rette for å nå hovedmålet gjennom en satsing på økt utvinning, utbygging av alle drivverdige funn og påvise uoppdagede ressurser gjennom aktiv utforskning av attraktivt let</w:t>
      </w:r>
      <w:r>
        <w:t>e</w:t>
      </w:r>
      <w:r>
        <w:t>areal. Det skal legges til rette for kostnadseffektiv leting, utbygging og drift der en ivaretar hensyn til helse, miljø, sikkerhet og andre brukere av havet. Rollen som petroleumsprodusent skal også fremover forenes med ambisjonen om å være verdensledende i miljø- og klimapolitikken. Regj</w:t>
      </w:r>
      <w:r>
        <w:t>e</w:t>
      </w:r>
      <w:r>
        <w:t>ringen vil videreføre kvoteplikt og CO</w:t>
      </w:r>
      <w:r>
        <w:rPr>
          <w:rStyle w:val="skrift-senket"/>
          <w:sz w:val="21"/>
          <w:szCs w:val="21"/>
        </w:rPr>
        <w:t>2</w:t>
      </w:r>
      <w:r>
        <w:t>-avgift som hovedvirkemidler i klimapolitikken på norsk sokkel, og opprettholde strenge miljøkrav til norsk oljeproduksjon. Oljeselskapene på norsk sokkel vil dermed på lik linje med bedrifter i EU bidra til å redusere kvotepliktige utslipp med 43 prosent fra nivået i 2005 innen 2030.</w:t>
      </w:r>
    </w:p>
    <w:p w:rsidR="00880768" w:rsidRDefault="00880768" w:rsidP="00880768">
      <w:r>
        <w:t>Sentralt for realiseringen av verdipotensialet som ligger i petroleumsressurser på norsk sokkel er å opprettholde et effektivt og helhetlig rammeverk som er basert på kunnskap og fakta, og ha retti</w:t>
      </w:r>
      <w:r>
        <w:t>g</w:t>
      </w:r>
      <w:r>
        <w:t xml:space="preserve">hetshavere som både kan og vil hente ut verdiene under sjøbunnen. </w:t>
      </w:r>
    </w:p>
    <w:p w:rsidR="00880768" w:rsidRDefault="00880768" w:rsidP="00880768">
      <w:r>
        <w:t>For regjeringen vil det være viktig å bidra til at leverandørindustrien får mulighet til vekst og vid</w:t>
      </w:r>
      <w:r>
        <w:t>e</w:t>
      </w:r>
      <w:r>
        <w:t>reutvikling for å sikre ledende posisjoner i et internasjonalt marked. Regjeringen vil derfor bruke hele virkemiddelapparatet, inkludert Norwegian Energy Partners og Innovasjon Norge, for å bistå norske oljeteknologibedrifter internasjonalt.</w:t>
      </w:r>
    </w:p>
    <w:p w:rsidR="00880768" w:rsidRDefault="00880768" w:rsidP="00880768">
      <w:r>
        <w:t>Oljedirektoratet skal bidra til størst mulige verdier for samfunnet fra olje- og gassvirksomheten gjennom en effektiv og forsvarlig ressursforvaltning. Virksomheten skal foregå i sameksistens med andre brukere av havet.</w:t>
      </w:r>
    </w:p>
    <w:p w:rsidR="00880768" w:rsidRDefault="00880768" w:rsidP="00880768">
      <w:r>
        <w:t>Gassco AS skal som operatør for det norske transportsystemet for gass bidra til maksimal verd</w:t>
      </w:r>
      <w:r>
        <w:t>i</w:t>
      </w:r>
      <w:r>
        <w:t xml:space="preserve">skaping av gassressursene på norsk kontinentalsokkel. </w:t>
      </w:r>
    </w:p>
    <w:p w:rsidR="00880768" w:rsidRDefault="00880768" w:rsidP="00880768">
      <w:r>
        <w:t xml:space="preserve">Petoro AS skal gjennom ivaretakelsen av SDØE-porteføljen skape størst mulig verdi og oppnå høyest mulig inntekt til staten. </w:t>
      </w:r>
    </w:p>
    <w:p w:rsidR="00880768" w:rsidRDefault="00880768" w:rsidP="00880768">
      <w:pPr>
        <w:pStyle w:val="Undertittel"/>
      </w:pPr>
      <w:r>
        <w:t xml:space="preserve">Olje- og energidepartementets mål og oppgaver </w:t>
      </w:r>
    </w:p>
    <w:p w:rsidR="00880768" w:rsidRDefault="00880768" w:rsidP="00880768">
      <w:r>
        <w:t>Olje- og energidepartementet skal legge til rette for en samordnet og helhetlig petroleumspolitikk. Et overordnet mål er å sikre høy verdiskaping gjennom effektiv og miljøvennlig forvaltning av petroleumsressursene, herunder videreutvikle og opprettholde en faktabasert, helhetlig og effektiv olje- og gasspolitikk. Departementet skal være en forvalter med et langsiktig perspektiv og legge til rette for lønnsom produksjon av norske petroleumsressurser.</w:t>
      </w:r>
    </w:p>
    <w:p w:rsidR="00880768" w:rsidRDefault="00880768" w:rsidP="00880768">
      <w:r>
        <w:t xml:space="preserve">Departementet vil videreføre hovedlinjene i petroleumspolitikken ved </w:t>
      </w:r>
      <w:proofErr w:type="gramStart"/>
      <w:r>
        <w:t>å</w:t>
      </w:r>
      <w:proofErr w:type="gramEnd"/>
      <w:r>
        <w:t>:</w:t>
      </w:r>
    </w:p>
    <w:p w:rsidR="00880768" w:rsidRDefault="00880768" w:rsidP="00880768">
      <w:pPr>
        <w:pStyle w:val="Liste"/>
      </w:pPr>
      <w:r>
        <w:t xml:space="preserve">opprettholde stabile og forutsigbare rammebetingelser for næringen, </w:t>
      </w:r>
    </w:p>
    <w:p w:rsidR="00880768" w:rsidRDefault="00880768" w:rsidP="00880768">
      <w:pPr>
        <w:pStyle w:val="Liste"/>
      </w:pPr>
      <w:r>
        <w:t xml:space="preserve">tildele attraktivt leteareal, </w:t>
      </w:r>
    </w:p>
    <w:p w:rsidR="00880768" w:rsidRDefault="00880768" w:rsidP="00880768">
      <w:pPr>
        <w:pStyle w:val="Liste"/>
      </w:pPr>
      <w:r>
        <w:t>føre en aktiv innsats innenfor forskning og utvikling,</w:t>
      </w:r>
    </w:p>
    <w:p w:rsidR="00880768" w:rsidRDefault="00880768" w:rsidP="00880768">
      <w:pPr>
        <w:pStyle w:val="Liste"/>
      </w:pPr>
      <w:r>
        <w:t>legge til rette for fortsatt ren, energieffektiv og lønnsom produksjon,</w:t>
      </w:r>
    </w:p>
    <w:p w:rsidR="00880768" w:rsidRDefault="00880768" w:rsidP="00880768">
      <w:pPr>
        <w:pStyle w:val="Liste"/>
      </w:pPr>
      <w:r>
        <w:t>understøtte næringens arbeid med å øke verdiskapingen gjennom effektivisering, digitalis</w:t>
      </w:r>
      <w:r>
        <w:t>e</w:t>
      </w:r>
      <w:r>
        <w:t xml:space="preserve">ring og innovasjon, og </w:t>
      </w:r>
    </w:p>
    <w:p w:rsidR="00880768" w:rsidRDefault="00880768" w:rsidP="00880768">
      <w:pPr>
        <w:pStyle w:val="Liste"/>
      </w:pPr>
      <w:proofErr w:type="gramStart"/>
      <w:r>
        <w:t>legge til rette for fortsatt god samhandling med andre brukere av havet.</w:t>
      </w:r>
      <w:proofErr w:type="gramEnd"/>
      <w:r>
        <w:t xml:space="preserve"> </w:t>
      </w:r>
    </w:p>
    <w:p w:rsidR="00880768" w:rsidRDefault="00880768" w:rsidP="00880768">
      <w:r>
        <w:lastRenderedPageBreak/>
        <w:t>Departementet vil følge opp rettighetshavernes drift av feltene for å bidra til en effektiv ressursu</w:t>
      </w:r>
      <w:r>
        <w:t>t</w:t>
      </w:r>
      <w:r>
        <w:t xml:space="preserve">nyttelse. Departementet vil foreta grundig behandling av de planer for utbygging, anlegg og drift samt disponering som fremlegges av ulike rettighetshavergrupper. Departementet har dialog med rettighetshaverne på sokkelen også i forkant av innlevering av plan for utbygging og drift (PUD). </w:t>
      </w:r>
    </w:p>
    <w:p w:rsidR="00880768" w:rsidRDefault="00880768" w:rsidP="00880768">
      <w:r>
        <w:t>Tilgang til nye leteområder er nødvendig for å gjøre nye funn og opprettholde verdiskaping, sy</w:t>
      </w:r>
      <w:r>
        <w:t>s</w:t>
      </w:r>
      <w:r>
        <w:t>selsetting og statlige inntekter på lang sikt. Årets konsesjonsrunde i forhåndsdefinerte områder (TFO 2018), med blokker i Nordsjøen, Norskehavet og Barentshavet, pågår og det tas sikte på ti</w:t>
      </w:r>
      <w:r>
        <w:t>l</w:t>
      </w:r>
      <w:r>
        <w:t>deling i løpet av første kvartal 2019. TFO 2019 vil bli lyst ut første halvår 2019.</w:t>
      </w:r>
    </w:p>
    <w:p w:rsidR="00880768" w:rsidRDefault="00880768" w:rsidP="00880768">
      <w:r>
        <w:t>Departementet vil på vegne av staten beholde andeler i nye utvinningstillatelser som tildeles h</w:t>
      </w:r>
      <w:r>
        <w:t>o</w:t>
      </w:r>
      <w:r>
        <w:t>vedsakelig basert på ressurspotensialet i den enkelte tillatelse. Ved tilleggstildelinger og feltnært areal vil departementet på vegne av staten som hovedregel beholde en andel lik SDØE-andelen i den eksisterende tillatelsen.</w:t>
      </w:r>
    </w:p>
    <w:p w:rsidR="00880768" w:rsidRDefault="00880768" w:rsidP="00880768">
      <w:r>
        <w:t>Departementet vil følge opp Oljedirektoratets arbeid med en effektiv og forsvarlig ressursforval</w:t>
      </w:r>
      <w:r>
        <w:t>t</w:t>
      </w:r>
      <w:r>
        <w:t>ning gjennom styringsdialogen.</w:t>
      </w:r>
    </w:p>
    <w:p w:rsidR="00880768" w:rsidRDefault="00880768" w:rsidP="00880768">
      <w:r>
        <w:t>Departementet har som mål å ha en god og aktiv oppfølging av Petoro AS med sikte på at selskapet ivaretar statens deltakerandeler gjennom SDØE på en effektiv måte.</w:t>
      </w:r>
    </w:p>
    <w:p w:rsidR="00880768" w:rsidRDefault="00880768" w:rsidP="00880768">
      <w:r>
        <w:t>Staten eier 67 prosent av aksjene i Equinor ASA. Departementet vil aktivt følge opp statens eie</w:t>
      </w:r>
      <w:r>
        <w:t>r</w:t>
      </w:r>
      <w:r>
        <w:t>skap gjennom analyser og møter med selskapet.</w:t>
      </w:r>
    </w:p>
    <w:p w:rsidR="00880768" w:rsidRDefault="00880768" w:rsidP="00880768">
      <w:r>
        <w:t>Staten eier 100 prosent av aksjene i Gassco AS som er operatør for gasstransportsystemet på norsk sokkel. Departementet vil bidra til at Gassco er en effektiv og nøytral operatør for gasstranspor</w:t>
      </w:r>
      <w:r>
        <w:t>t</w:t>
      </w:r>
      <w:r>
        <w:t>systemet, og at selskapet bidrar til en helhetlig videreutvikling av norsk gassinfrastruktur.</w:t>
      </w:r>
    </w:p>
    <w:p w:rsidR="00880768" w:rsidRDefault="00880768" w:rsidP="00880768">
      <w:r>
        <w:t>Departementet vil videreføre arbeidet med økonomiske analyser av norsk petroleumsvirksomhet, herunder bidra med anslag til nasjonalbudsjettet og følge markedsutviklingen for olje og gass.</w:t>
      </w:r>
    </w:p>
    <w:p w:rsidR="00880768" w:rsidRDefault="00880768" w:rsidP="00880768">
      <w:pPr>
        <w:pStyle w:val="Undertittel"/>
      </w:pPr>
      <w:r>
        <w:t>Olje- og energidepartementets resultatrapport for 2017</w:t>
      </w:r>
    </w:p>
    <w:p w:rsidR="00880768" w:rsidRDefault="00880768" w:rsidP="00880768">
      <w:r>
        <w:t>Departementet bidro i 2017 til effektiv forvaltning av petroleumsressursene i et langsiktig perspe</w:t>
      </w:r>
      <w:r>
        <w:t>k</w:t>
      </w:r>
      <w:r>
        <w:t xml:space="preserve">tiv. Arbeidet har skjedd i nært samarbeid med Oljedirektoratet og Gassco AS. </w:t>
      </w:r>
    </w:p>
    <w:p w:rsidR="00880768" w:rsidRDefault="00880768" w:rsidP="00880768">
      <w:r>
        <w:t>En forutsetning for å realisere de store verdiene i uoppdagede ressurser er at næringen får tilgang til interessante leteområder. Departementet har, i tråd med etablert politikk, arbeidet med konsesjon</w:t>
      </w:r>
      <w:r>
        <w:t>s</w:t>
      </w:r>
      <w:r>
        <w:t>runder både i og utenfor det forhåndsdefinerte området (TFO-området) i 2017. I TFO 2016 ble det tildelt 56 nye utvinningstillatelser til 29 selskaper. Staten beholdt andeler i nye utvinningstillatelser i henhold til etablert politikk. TFO 2017 ble utlyst i mai 2017. Departementet har mottatt og b</w:t>
      </w:r>
      <w:r>
        <w:t>e</w:t>
      </w:r>
      <w:r>
        <w:t>handlet søknadene som kom inn i runden i 2017. I juni 2017 ble 24. konsesjonsrunde utlyst med søknadsfrist i november 2017. Det ble mottatt søknader fra elleve selskap.</w:t>
      </w:r>
    </w:p>
    <w:p w:rsidR="00880768" w:rsidRDefault="00880768" w:rsidP="00880768">
      <w:r>
        <w:t xml:space="preserve">Departementet har fulgt opp selskapenes letevirksomhet i tråd med gjeldende petroleumspolitikk. </w:t>
      </w:r>
    </w:p>
    <w:p w:rsidR="00880768" w:rsidRDefault="00880768" w:rsidP="00880768">
      <w:r>
        <w:t>Departementet har godkjent plan for utbygging og drift (PUD) for feltene Utgard, Dvalin, Byrding, Trestakk, Oda, Njord, Bauge, Ekofisk 2/4 VC (endret PUD).</w:t>
      </w:r>
    </w:p>
    <w:p w:rsidR="00880768" w:rsidRDefault="00880768" w:rsidP="00880768">
      <w:r>
        <w:t xml:space="preserve">Avslutningsplaner for feltene Valhall QP og Gyda har blitt godkjent. </w:t>
      </w:r>
    </w:p>
    <w:p w:rsidR="00880768" w:rsidRDefault="00880768" w:rsidP="00880768">
      <w:r>
        <w:t xml:space="preserve">Departementet har fulgt opp selskapenes arbeid med pågående og fremtidige feltutbygginger og videreutviklingsprosjekter. De ulike rettighetshavergruppenes arbeid med felt i drift er fulgt opp i nært samarbeid med Oljedirektoratet. </w:t>
      </w:r>
    </w:p>
    <w:p w:rsidR="00880768" w:rsidRDefault="00880768" w:rsidP="00880768">
      <w:r>
        <w:t xml:space="preserve">Det er gitt årlige produksjonstillatelser for henholdsvis gass og væske. </w:t>
      </w:r>
    </w:p>
    <w:p w:rsidR="00880768" w:rsidRDefault="00880768" w:rsidP="00880768">
      <w:r>
        <w:lastRenderedPageBreak/>
        <w:t xml:space="preserve">Departementet har behandlet en rekke søknader om samtykke til overdragelser av deltakerandeler mellom ulike selskaper. </w:t>
      </w:r>
    </w:p>
    <w:p w:rsidR="00880768" w:rsidRDefault="00880768" w:rsidP="00880768">
      <w:r>
        <w:t>For å sikre effektiv bruk av infrastruktur regulerer departementet tilgang til rørledninger, anlegg på land og feltinfrastruktur på norsk sokkel. Departementet har i 2017 behandlet uenigheter mellom partene vedrørende Frams bruk av Trolls innretninger, Fenjas bruk av Njords innretninger og Ba</w:t>
      </w:r>
      <w:r>
        <w:t>u</w:t>
      </w:r>
      <w:r>
        <w:t>ges bruk av Njords innretninger. Departementet har fastsatt tariffer for Polarled, Nyhamna og Vestprosess.</w:t>
      </w:r>
    </w:p>
    <w:p w:rsidR="00880768" w:rsidRDefault="00880768" w:rsidP="00880768">
      <w:r>
        <w:t xml:space="preserve">Staten ved Olje- og energidepartementet ble i 2014 saksøkt vedrørende vedtak om fastsettelse av tariffer for transport av gass i Gassled. Saken ble behandlet av Borgarting lagmannsrett våren 2017. Staten ble frifunnet og saken deretter anket av motpartene. Høyesterett avgjorde 28. juni 2018 at staten v/Olje- og energidepartementet hadde rett til å fastsette lavere tariffer for transport av gass under nye transportavtaler. </w:t>
      </w:r>
    </w:p>
    <w:p w:rsidR="00880768" w:rsidRDefault="00880768" w:rsidP="00880768">
      <w:r>
        <w:t xml:space="preserve">Staten v/Olje- og energidepartementet ble i 2016 saksøkt med påstand om at tildelingen av 23. konsesjonsrunde var ugyldig. Saken ble behandlet av Oslo tingrett høsten 2017. I dom av 4. januar 2018 ble Staten frifunnet. Saken ble deretter anket av motpartene. </w:t>
      </w:r>
    </w:p>
    <w:p w:rsidR="00880768" w:rsidRDefault="00880768" w:rsidP="00880768">
      <w:r>
        <w:t>Departementet har i samarbeid med Arbeids- og sosialdepartementet revidert veilederen til uta</w:t>
      </w:r>
      <w:r>
        <w:t>r</w:t>
      </w:r>
      <w:r>
        <w:t>beidelse av plan for utbygging og drift av petroleumsforekomst (PUD) og plan for anlegg og drift av innretninger for transport og for utnyttelse av petroleum (PAD). Denne utgaven erstatter veil</w:t>
      </w:r>
      <w:r>
        <w:t>e</w:t>
      </w:r>
      <w:r>
        <w:t>deren fra 2010.</w:t>
      </w:r>
    </w:p>
    <w:p w:rsidR="00880768" w:rsidRDefault="00880768" w:rsidP="00880768">
      <w:r>
        <w:t>Departementet har fulgt og analysert utviklingen i energimarkedene. Departementet har vært se</w:t>
      </w:r>
      <w:r>
        <w:t>k</w:t>
      </w:r>
      <w:r>
        <w:t xml:space="preserve">retariat for Petroleumsprisrådet. </w:t>
      </w:r>
    </w:p>
    <w:p w:rsidR="00880768" w:rsidRDefault="00880768" w:rsidP="00880768">
      <w:r>
        <w:t xml:space="preserve">Departementet har videreført arbeidet med økonomiske analyser av norsk petroleumsvirksomhet, herunder bidratt med anslag til nasjonalbudsjettet. </w:t>
      </w:r>
    </w:p>
    <w:p w:rsidR="00880768" w:rsidRDefault="00880768" w:rsidP="00880768">
      <w:r>
        <w:t>Departementet har fulgt opp statens eierinteresser i Equinor ASA, Gassco AS, Petoro AS og ivar</w:t>
      </w:r>
      <w:r>
        <w:t>e</w:t>
      </w:r>
      <w:r>
        <w:t xml:space="preserve">takelsen av SDØE-andelene. </w:t>
      </w:r>
    </w:p>
    <w:p w:rsidR="00880768" w:rsidRDefault="00880768" w:rsidP="00880768">
      <w:r>
        <w:t>Norge har søkt EITIs styre om forenklet og tilpasset implementering av EITI-standardene. Søkn</w:t>
      </w:r>
      <w:r>
        <w:t>a</w:t>
      </w:r>
      <w:r>
        <w:t>den ble godkjent av EITIs styre høsten 2017. Dette innebærer blant annet at informasjon som kr</w:t>
      </w:r>
      <w:r>
        <w:t>e</w:t>
      </w:r>
      <w:r>
        <w:t>ves offentliggjort i henhold til EITI-standardene baseres på allerede tilgjengelige kilder og ikke en egen EITI-rapportering, avstemming og EITI-rapport. Informasjon om mottatte betalinger fra se</w:t>
      </w:r>
      <w:r>
        <w:t>l</w:t>
      </w:r>
      <w:r>
        <w:t xml:space="preserve">skapene vil publiseres på norskpetroleum.no. </w:t>
      </w:r>
    </w:p>
    <w:p w:rsidR="00880768" w:rsidRDefault="00880768" w:rsidP="00880768">
      <w:r>
        <w:t>Departementet har arbeidet med et lovforslag om mineralvirksomhet på kontinentalsokkelen som ble sendt på offentlig høring i 2017. Forslag til ny lov om mineralvirksomhet på kontinentalsokk</w:t>
      </w:r>
      <w:r>
        <w:t>e</w:t>
      </w:r>
      <w:r>
        <w:t>len (havbunnsmineralloven) ble fremlagt 22. juni 2018, jf. Prop. 106 L (2017–2018).</w:t>
      </w:r>
    </w:p>
    <w:p w:rsidR="00880768" w:rsidRDefault="00880768" w:rsidP="00880768">
      <w:pPr>
        <w:pStyle w:val="Undertittel"/>
      </w:pPr>
      <w:r>
        <w:t xml:space="preserve">Oljedirektoratet </w:t>
      </w:r>
    </w:p>
    <w:p w:rsidR="00880768" w:rsidRDefault="00880768" w:rsidP="00880768">
      <w:r>
        <w:t>Oljedirektoratet (OD) har en sentral rolle i forvaltningen av olje- og gassressursene på norsk kont</w:t>
      </w:r>
      <w:r>
        <w:t>i</w:t>
      </w:r>
      <w:r>
        <w:t>nentalsokkel og er et viktig rådgivende organ for departementet innenfor petroleumsvirksomheten. OD utøver forvaltningsmyndighet i forbindelse med tildeling av areal, undersøkelser etter og u</w:t>
      </w:r>
      <w:r>
        <w:t>t</w:t>
      </w:r>
      <w:r>
        <w:t>vinning av petroleumsforekomster på sokkelen. Dette omfatter også myndighet til å fastsette fo</w:t>
      </w:r>
      <w:r>
        <w:t>r</w:t>
      </w:r>
      <w:r>
        <w:t>skrifter og fatte vedtak i henhold til regelverket for petroleumsvirksomheten.</w:t>
      </w:r>
    </w:p>
    <w:p w:rsidR="00880768" w:rsidRDefault="00880768" w:rsidP="00880768">
      <w:r>
        <w:t>OD skal være en aktiv pådriver for å realisere mest mulig av ressurspotensialet på sokkelen og skape størst mulige verdier for samfunnet. OD har videre et nasjonalt ansvar for data fra kontine</w:t>
      </w:r>
      <w:r>
        <w:t>n</w:t>
      </w:r>
      <w:r>
        <w:t>talsokkelen og har en oversikts- og formidlerrolle når det gjelder data, analyser og beslutning</w:t>
      </w:r>
      <w:r>
        <w:t>s</w:t>
      </w:r>
      <w:r>
        <w:t>grunnlag.</w:t>
      </w:r>
    </w:p>
    <w:p w:rsidR="00880768" w:rsidRDefault="00880768" w:rsidP="00880768">
      <w:r>
        <w:t>OD har hovedkontor i Stavanger, samt et kontor i Harstad. Det ble utført 221 årsverk i 2017.</w:t>
      </w:r>
    </w:p>
    <w:p w:rsidR="00880768" w:rsidRDefault="00880768" w:rsidP="00880768">
      <w:pPr>
        <w:pStyle w:val="avsnitt-tittel"/>
      </w:pPr>
      <w:r>
        <w:lastRenderedPageBreak/>
        <w:t>Mål</w:t>
      </w:r>
    </w:p>
    <w:p w:rsidR="00880768" w:rsidRDefault="00880768" w:rsidP="00880768">
      <w:r>
        <w:t>Oljedirektoratets hovedmål er å bidra til størst mulige verdier for samfunnet fra olje- og gassvir</w:t>
      </w:r>
      <w:r>
        <w:t>k</w:t>
      </w:r>
      <w:r>
        <w:t>somheten gjennom en effektiv og forsvarlig ressursforvaltning, hensyntatt helse, miljø, sikkerhet og andre brukere av havet.</w:t>
      </w:r>
    </w:p>
    <w:p w:rsidR="00880768" w:rsidRDefault="00880768" w:rsidP="00880768">
      <w:r>
        <w:t xml:space="preserve">Hovedmålet søkes nådd ved at OD skal arbeide for </w:t>
      </w:r>
      <w:proofErr w:type="gramStart"/>
      <w:r>
        <w:t>å</w:t>
      </w:r>
      <w:proofErr w:type="gramEnd"/>
      <w:r>
        <w:t xml:space="preserve"> nå tre nærmere spesifiserte delmål: </w:t>
      </w:r>
    </w:p>
    <w:p w:rsidR="00880768" w:rsidRDefault="00880768" w:rsidP="00880768">
      <w:pPr>
        <w:pStyle w:val="avsnitt-undertittel"/>
      </w:pPr>
      <w:r>
        <w:t xml:space="preserve">Arbeide for langsiktig ressurstilgang, herunder en effektiv og forsvarlig letevirksomhet </w:t>
      </w:r>
    </w:p>
    <w:p w:rsidR="00880768" w:rsidRDefault="00880768" w:rsidP="00880768">
      <w:r>
        <w:t>OD skal:</w:t>
      </w:r>
    </w:p>
    <w:p w:rsidR="00880768" w:rsidRDefault="00880768" w:rsidP="00880768">
      <w:pPr>
        <w:pStyle w:val="Liste"/>
      </w:pPr>
      <w:r>
        <w:t>følge opp konsesjonspolitikken og legge forholdene til rette for rask og effektiv utforsking av tildelt areal</w:t>
      </w:r>
    </w:p>
    <w:p w:rsidR="00880768" w:rsidRDefault="00880768" w:rsidP="00880768">
      <w:pPr>
        <w:pStyle w:val="Liste"/>
      </w:pPr>
      <w:r>
        <w:t>gjennomføre teknisk, faglig arbeid i forbindelse med Olje- og energidepartementets kons</w:t>
      </w:r>
      <w:r>
        <w:t>e</w:t>
      </w:r>
      <w:r>
        <w:t>sjonstildeling av areal, både i nummererte konsesjonsrunder og i konsesjonsrunder i fo</w:t>
      </w:r>
      <w:r>
        <w:t>r</w:t>
      </w:r>
      <w:r>
        <w:t>håndsdefinerte områder (TFO)</w:t>
      </w:r>
    </w:p>
    <w:p w:rsidR="00880768" w:rsidRDefault="00880768" w:rsidP="00880768">
      <w:pPr>
        <w:pStyle w:val="Liste"/>
      </w:pPr>
      <w:r>
        <w:t>følge opp den pågående leteaktiviteten</w:t>
      </w:r>
    </w:p>
    <w:p w:rsidR="00880768" w:rsidRDefault="00880768" w:rsidP="00880768">
      <w:pPr>
        <w:pStyle w:val="Liste"/>
      </w:pPr>
      <w:r>
        <w:t>gjennomføre geologiske kartleggingsprosjekter og tolke innsamlede data for å øke kun</w:t>
      </w:r>
      <w:r>
        <w:t>n</w:t>
      </w:r>
      <w:r>
        <w:t xml:space="preserve">skapsnivået om petroleumspotensialet og komplettere datadekningen for uåpnede områder </w:t>
      </w:r>
    </w:p>
    <w:p w:rsidR="00880768" w:rsidRDefault="00880768" w:rsidP="00880768">
      <w:pPr>
        <w:pStyle w:val="Liste"/>
      </w:pPr>
      <w:r>
        <w:t>følge opp og bidra aktivt med faglige innspill til arbeidet i Faglig forum og være rådgiver for OED i arbeidet med forvaltningsplanene for havområdene</w:t>
      </w:r>
    </w:p>
    <w:p w:rsidR="00880768" w:rsidRDefault="00880768" w:rsidP="00880768">
      <w:pPr>
        <w:pStyle w:val="Liste"/>
      </w:pPr>
      <w:r>
        <w:t>utarbeide plan og gjennomføre kartlegging av de kommersielt mest interessante minera</w:t>
      </w:r>
      <w:r>
        <w:t>l</w:t>
      </w:r>
      <w:r>
        <w:t>forekomstene på norsk kontinentalsokkel</w:t>
      </w:r>
    </w:p>
    <w:p w:rsidR="00880768" w:rsidRDefault="00880768" w:rsidP="00880768">
      <w:pPr>
        <w:pStyle w:val="avsnitt-undertittel"/>
      </w:pPr>
      <w:r>
        <w:t>Sikre en effektiv og forsvarlig ressursforvaltning knyttet til utbygging og drift</w:t>
      </w:r>
    </w:p>
    <w:p w:rsidR="00880768" w:rsidRDefault="00880768" w:rsidP="00880768">
      <w:r>
        <w:t>OD skal:</w:t>
      </w:r>
    </w:p>
    <w:p w:rsidR="00880768" w:rsidRDefault="00880768" w:rsidP="00880768">
      <w:pPr>
        <w:pStyle w:val="Liste"/>
      </w:pPr>
      <w:r>
        <w:t>være en pådriver for utbygging av alle lønnsomme ressurser i funn, fra tidlig fase og gjennom de sentrale prosjektmilepælene. Følge opp utbygging av tidskritiske ressurser og at eksist</w:t>
      </w:r>
      <w:r>
        <w:t>e</w:t>
      </w:r>
      <w:r>
        <w:t>rende infrastruktur utnyttes effektivt</w:t>
      </w:r>
    </w:p>
    <w:p w:rsidR="00880768" w:rsidRDefault="00880768" w:rsidP="00880768">
      <w:pPr>
        <w:pStyle w:val="Liste"/>
      </w:pPr>
      <w:r>
        <w:t xml:space="preserve">være en pådriver for utbyggingsløsninger som gir god ressursforvaltning og størst mulig verdiskaping, herunder at gode, kostnadseffektive områdeløsninger velges </w:t>
      </w:r>
    </w:p>
    <w:p w:rsidR="00880768" w:rsidRDefault="00880768" w:rsidP="00880768">
      <w:pPr>
        <w:pStyle w:val="Liste"/>
      </w:pPr>
      <w:r>
        <w:t>sørge for at muligheten for kraft fra land vurderes av rettighetshaverne for alle nye utby</w:t>
      </w:r>
      <w:r>
        <w:t>g</w:t>
      </w:r>
      <w:r>
        <w:t xml:space="preserve">ginger og større ombygginger </w:t>
      </w:r>
    </w:p>
    <w:p w:rsidR="00880768" w:rsidRDefault="00880768" w:rsidP="00880768">
      <w:pPr>
        <w:pStyle w:val="Liste"/>
      </w:pPr>
      <w:r>
        <w:t>følge opp at de ulike rettighetshavernes utbyggingsprosjekter planlegges i henhold til beste industripraksis, herunder når det gjelder erfaringsoverføring fra tidligere prosjekter, org</w:t>
      </w:r>
      <w:r>
        <w:t>a</w:t>
      </w:r>
      <w:r>
        <w:t xml:space="preserve">nisering og gjennomføring, herunder partnernes operasjonalisering av påseplikten </w:t>
      </w:r>
    </w:p>
    <w:p w:rsidR="00880768" w:rsidRDefault="00880768" w:rsidP="00880768">
      <w:pPr>
        <w:pStyle w:val="Liste"/>
      </w:pPr>
      <w:r>
        <w:t>følge opp feltene i driftsfasen og være en pådriver for god ressursforvaltning, størst mulig verdiskaping og at samfunnsøkonomisk lønnsomme tiltak blir realisert, herunder økt utvi</w:t>
      </w:r>
      <w:r>
        <w:t>n</w:t>
      </w:r>
      <w:r>
        <w:t xml:space="preserve">ning og innfasing av tilleggsressurser </w:t>
      </w:r>
    </w:p>
    <w:p w:rsidR="00880768" w:rsidRDefault="00880768" w:rsidP="00880768">
      <w:pPr>
        <w:pStyle w:val="avsnitt-undertittel"/>
      </w:pPr>
      <w:r>
        <w:t>Være nasjonalt sokkelbibliotek og spre fakta og kunnskap</w:t>
      </w:r>
    </w:p>
    <w:p w:rsidR="00880768" w:rsidRDefault="00880768" w:rsidP="00880768">
      <w:r>
        <w:t>OD skal:</w:t>
      </w:r>
    </w:p>
    <w:p w:rsidR="00880768" w:rsidRDefault="00880768" w:rsidP="00880768">
      <w:pPr>
        <w:pStyle w:val="Liste"/>
      </w:pPr>
      <w:r>
        <w:t xml:space="preserve">utarbeide ressursregnskap og ha god oversikt over alle petroleumsrelaterte data på norsk sokkel, herunder </w:t>
      </w:r>
      <w:proofErr w:type="gramStart"/>
      <w:r>
        <w:t>beskrive</w:t>
      </w:r>
      <w:proofErr w:type="gramEnd"/>
      <w:r>
        <w:t xml:space="preserve"> utviklingen innenfor ressursgrunnlaget og kostnadsnivået på sokkelen, samt gjøre analyser av hvilke forhold som påvirker disse faktorene</w:t>
      </w:r>
    </w:p>
    <w:p w:rsidR="00880768" w:rsidRDefault="00880768" w:rsidP="00880768">
      <w:pPr>
        <w:pStyle w:val="Liste"/>
      </w:pPr>
      <w:r>
        <w:t xml:space="preserve">gjøre informasjon og data i alle faser av virksomheten enkelt tilgjengelig og formidle fakta og faglig kunnskap til myndigheter, næring og samfunn for øvrig </w:t>
      </w:r>
    </w:p>
    <w:p w:rsidR="00880768" w:rsidRDefault="00880768" w:rsidP="00880768">
      <w:pPr>
        <w:pStyle w:val="Liste"/>
      </w:pPr>
      <w:r>
        <w:t>spre fakta og kunnskap om status i sektoren, fremtidige behov og utfordringer overfor myndigheter, næringen og samfunnet for øvrig</w:t>
      </w:r>
    </w:p>
    <w:p w:rsidR="00880768" w:rsidRDefault="00880768" w:rsidP="00880768">
      <w:pPr>
        <w:pStyle w:val="Liste"/>
      </w:pPr>
      <w:r>
        <w:lastRenderedPageBreak/>
        <w:t>opparbeide oversikt over eksisterende data som er relevante for mineralforekomster på norsk kontinentalsokkel</w:t>
      </w:r>
    </w:p>
    <w:p w:rsidR="00880768" w:rsidRDefault="00880768" w:rsidP="00880768">
      <w:pPr>
        <w:pStyle w:val="avsnitt-tittel"/>
      </w:pPr>
      <w:r>
        <w:t>Resultatrapport 2017</w:t>
      </w:r>
    </w:p>
    <w:p w:rsidR="00880768" w:rsidRDefault="00880768" w:rsidP="00880768">
      <w:r>
        <w:t xml:space="preserve">OD har gjennom sin virksomhet fulgt opp og bidratt til å realisere regjeringens hovedambisjoner for petroleumsnæringen, herunder direktoratets mål slik de er beskrevet i Prop. 1 S (2016–2017). </w:t>
      </w:r>
    </w:p>
    <w:p w:rsidR="00880768" w:rsidRDefault="00880768" w:rsidP="00880768">
      <w:pPr>
        <w:pStyle w:val="avsnitt-undertittel"/>
      </w:pPr>
      <w:r>
        <w:t>Arbeide for langsiktig ressurstilgang, herunder en effektiv og forsvarlig letevirksomhet</w:t>
      </w:r>
    </w:p>
    <w:p w:rsidR="00880768" w:rsidRDefault="00880768" w:rsidP="00880768">
      <w:r>
        <w:t>OD bruker store ressurser på å følge opp regjeringens tildelingspolitikk og legge forholdene til rette for at utforskningen av tildelt areal skjer effektivt. Direktoratet gir tillatelse til leteboringer, og i 2017 påbegynte selskapene 36 letebrønner på norsk sokkel. Av disse ble 14 boret i Nordsjøen, fem i Norskehavet og 17 i Barentshavet. OD har fulgt opp boreoperasjonene med særlig vekt på dat</w:t>
      </w:r>
      <w:r>
        <w:t>a</w:t>
      </w:r>
      <w:r>
        <w:t>innsamling og rapportering. Letevirksomheten resulterte i to funn i Nordsjøen, tre i Norskehavet og seks i Barentshavet.</w:t>
      </w:r>
    </w:p>
    <w:p w:rsidR="00880768" w:rsidRDefault="00880768" w:rsidP="00880768">
      <w:r>
        <w:t xml:space="preserve">Forut for utlysing av areal i forhåndsdefinerte områder (TFO), har OD gitt råd om utvidelse av arealet basert på kunnskap og vurdering av ressurspotensialet. Arealutvidelsen i TFO 2017 besto av 34 blokker i Norskehavet og 53 blokker i Barentshavet. </w:t>
      </w:r>
    </w:p>
    <w:p w:rsidR="00880768" w:rsidRDefault="00880768" w:rsidP="00880768">
      <w:r>
        <w:t>OD kartlegger areal og evaluerer prospektivitet i forkant av konsesjonsrundene. Sammen med str</w:t>
      </w:r>
      <w:r>
        <w:t>a</w:t>
      </w:r>
      <w:r>
        <w:t>tegien for trinnvis utforskning og direktoratets kunnskap om geologien og ressurspotensialet, da</w:t>
      </w:r>
      <w:r>
        <w:t>n</w:t>
      </w:r>
      <w:r>
        <w:t xml:space="preserve">ner dette et godt faktagrunnlag. </w:t>
      </w:r>
    </w:p>
    <w:p w:rsidR="00880768" w:rsidRDefault="00880768" w:rsidP="00880768">
      <w:r>
        <w:t>I initiell periode av leteaktiviteten har OD fulgt opp arbeidsforpliktelser og frister i utvinningstill</w:t>
      </w:r>
      <w:r>
        <w:t>a</w:t>
      </w:r>
      <w:r>
        <w:t>telsene og påsett at dette blir fulgt opp av rettighetshaverne i henhold til gjeldende regelverk. V</w:t>
      </w:r>
      <w:r>
        <w:t>i</w:t>
      </w:r>
      <w:r>
        <w:t xml:space="preserve">dere har direktoratet sett til at lovpålagt rapportering og informasjon til myndigheter og aktuelle instanser er oppfylt. </w:t>
      </w:r>
    </w:p>
    <w:p w:rsidR="00880768" w:rsidRDefault="00880768" w:rsidP="00880768">
      <w:r>
        <w:t>Direktoratet har ivaretatt oppfølging innenfor området seismikk og sameksistens og koordinert meldinger og tilbakemeldinger for alle undersøkelser på kontinentalsokkelen. Et forprosjekt er satt i gang for å vurdere digitalisering av saksbehandlingsprosessen for de involverte etatene.</w:t>
      </w:r>
    </w:p>
    <w:p w:rsidR="00880768" w:rsidRDefault="00880768" w:rsidP="00880768">
      <w:r>
        <w:t>OD oppdaterer jevnlig estimatene for uoppdagede ressurser. Oppdateringen som ble gjort i 2017 er blant annet basert på direktoratets kartlegging av den østlige delen av de uåpnede områdene i B</w:t>
      </w:r>
      <w:r>
        <w:t>a</w:t>
      </w:r>
      <w:r>
        <w:t>rentshavet nord. Oppdateringen viste at anslaget for ressursene i Barentshavet nå er rundt 80 pr</w:t>
      </w:r>
      <w:r>
        <w:t>o</w:t>
      </w:r>
      <w:r>
        <w:t>sent høyere enn ved tilsvarende analyse i 2015. Anslagene for Nordsjøen og Norskehavet er ti</w:t>
      </w:r>
      <w:r>
        <w:t>l</w:t>
      </w:r>
      <w:r>
        <w:t>nærmet uendret. Nesten to tredjedeler av de uoppdagede ressursene på norsk sokkel ligger i B</w:t>
      </w:r>
      <w:r>
        <w:t>a</w:t>
      </w:r>
      <w:r>
        <w:t>rentshavet, hovedsakelig i områder som ikke er åpnet for petroleumsvirksomhet. Forventningsve</w:t>
      </w:r>
      <w:r>
        <w:t>r</w:t>
      </w:r>
      <w:r>
        <w:t>dien av de totale uoppdagede ressursene er estimert til om lag fire milliarder Sm</w:t>
      </w:r>
      <w:r>
        <w:rPr>
          <w:rStyle w:val="skrift-hevet"/>
          <w:spacing w:val="-2"/>
          <w:sz w:val="21"/>
          <w:szCs w:val="21"/>
        </w:rPr>
        <w:t>3</w:t>
      </w:r>
      <w:r>
        <w:t xml:space="preserve"> utvinnbare olj</w:t>
      </w:r>
      <w:r>
        <w:t>e</w:t>
      </w:r>
      <w:r>
        <w:t xml:space="preserve">ekvivalenter (o.e.). Det hefter usikkerhet ved estimatene. </w:t>
      </w:r>
    </w:p>
    <w:p w:rsidR="00880768" w:rsidRDefault="00880768" w:rsidP="00880768">
      <w:r>
        <w:t>I 2017 samlet direktoratet inn over 4 500 km 2D-seismikk på Gardarbankhøgda øst, nordøst for Bjørnøya og sør for Hopen. Disse dataene vil, sammen med innsamlede data fra perioden 2012–2016, gi et viktig bidrag til å øke kunnskapsnivået om petroleumspotensialet for de uåpnede omr</w:t>
      </w:r>
      <w:r>
        <w:t>å</w:t>
      </w:r>
      <w:r>
        <w:t>dene i Barentshavet nord.</w:t>
      </w:r>
    </w:p>
    <w:p w:rsidR="00880768" w:rsidRDefault="00880768" w:rsidP="00880768">
      <w:r>
        <w:t>Arbeidet med en faglig vurdering av betydningen av havis/havisdata for muligheten til å drive fo</w:t>
      </w:r>
      <w:r>
        <w:t>r</w:t>
      </w:r>
      <w:r>
        <w:t>svarlig petroleumsvirksomhet har pågått i 2017 og er under sluttføring.</w:t>
      </w:r>
    </w:p>
    <w:p w:rsidR="00880768" w:rsidRDefault="00880768" w:rsidP="00880768">
      <w:r>
        <w:t>Med virkning fra 1. april ble Olje- og energidepartementet tillagt forvaltningsansvaret for unders</w:t>
      </w:r>
      <w:r>
        <w:t>ø</w:t>
      </w:r>
      <w:r>
        <w:t>kelse og utvinning av mineralforekomster på norsk kontinentalsokkel, og gjennom supplerende tildelingsbrev fikk OD nærmere spesifiserte oppgaver innenfor mineralvirksomheten. Sommeren 2017 ble det i samarbeid med Universitetet i Bergen gjennomført et kartleggingstokt langs en vu</w:t>
      </w:r>
      <w:r>
        <w:t>l</w:t>
      </w:r>
      <w:r>
        <w:t xml:space="preserve">kanrygg for å få en grunnleggende forståelse av ressurspotensialet. Gjennom videre analyse av data </w:t>
      </w:r>
      <w:r>
        <w:lastRenderedPageBreak/>
        <w:t>søkes det etablert et grunnlag for volumberegninger. Det er videre utarbeidet en plan</w:t>
      </w:r>
      <w:r>
        <w:rPr>
          <w:rStyle w:val="halvfet0"/>
          <w:sz w:val="21"/>
          <w:szCs w:val="21"/>
        </w:rPr>
        <w:t xml:space="preserve"> </w:t>
      </w:r>
      <w:r>
        <w:t>for videre kartlegging av de kommersielt mest interessante mineralforekomstene på norsk sokkel.</w:t>
      </w:r>
    </w:p>
    <w:p w:rsidR="00880768" w:rsidRDefault="00880768" w:rsidP="00880768">
      <w:r>
        <w:t>Departementets vurdering er at OD i 2017 gjennom sitt arbeid har bidratt til å styrke den langsikt</w:t>
      </w:r>
      <w:r>
        <w:t>i</w:t>
      </w:r>
      <w:r>
        <w:t xml:space="preserve">ge ressurstilgangen. </w:t>
      </w:r>
    </w:p>
    <w:p w:rsidR="00880768" w:rsidRDefault="00880768" w:rsidP="00880768">
      <w:pPr>
        <w:pStyle w:val="avsnitt-undertittel"/>
      </w:pPr>
      <w:r>
        <w:t>Sikre en effektiv og forsvarlig ressursforvaltning knyttet til utbygging og drift</w:t>
      </w:r>
    </w:p>
    <w:p w:rsidR="00880768" w:rsidRDefault="00880768" w:rsidP="00880768">
      <w:r>
        <w:t xml:space="preserve">Ved utgangen av 2017 var det 85 felt i drift. Fem nye felt kom i produksjon: Gina Krog (Equinor), Maria (Wintershall), Flyndre (Maersk Oil UK), Sindre (Equinor) og Byrding (Equinor). Det ble levert planer for utbygging og drift (PUD) for ti funn, med forventede investeringer på over 120 mrd. kroner. </w:t>
      </w:r>
    </w:p>
    <w:p w:rsidR="00880768" w:rsidRDefault="00880768" w:rsidP="00880768">
      <w:r>
        <w:t>Alle funn og felt på norsk sokkel følges opp av OD med en differensiert innsats, basert på en sy</w:t>
      </w:r>
      <w:r>
        <w:t>s</w:t>
      </w:r>
      <w:r>
        <w:t xml:space="preserve">tematisk, årlig prioritering. Departementet vurderer det slik at direktoratet gjennom sitt arbeid i 2017 innenfor utbygging og drift har bidratt til en effektiv ressursforvaltning og høy verdiskaping for samfunnet. </w:t>
      </w:r>
    </w:p>
    <w:p w:rsidR="00880768" w:rsidRDefault="00880768" w:rsidP="00880768">
      <w:pPr>
        <w:pStyle w:val="avsnitt-under-undertittel"/>
      </w:pPr>
      <w:r>
        <w:t>Nordsjøen</w:t>
      </w:r>
    </w:p>
    <w:p w:rsidR="00880768" w:rsidRDefault="00880768" w:rsidP="00880768">
      <w:r>
        <w:t>I den sørlige delen av Nordsjøen arbeides det med en felles utvikling av ressursene i området me</w:t>
      </w:r>
      <w:r>
        <w:t>l</w:t>
      </w:r>
      <w:r>
        <w:t>lom feltene Grane og Balder, det såkalte Grand-området. Alternative utbyggingsløsninger blir st</w:t>
      </w:r>
      <w:r>
        <w:t>u</w:t>
      </w:r>
      <w:r>
        <w:t xml:space="preserve">dert. For å bidra til at det skapes størst mulige verdier fra ressursene i området har OD i dialog med rettighetshaverne påpekt at alternative løsninger ikke må skrinlegges for tidlig. </w:t>
      </w:r>
    </w:p>
    <w:p w:rsidR="00880768" w:rsidRDefault="00880768" w:rsidP="00880768">
      <w:r>
        <w:t>Ekofisk har store gjenværende ressurser. Direktoratet har arbeidet for at rettighetshaverne besluttet et vanninjeksjonsprosjekt for økt utvinning. Dette ble besluttet av rettighetshaverne tidlig i 2017, og endret plan for utbygging og drift (PUD) ble godkjent i september 2017.</w:t>
      </w:r>
    </w:p>
    <w:p w:rsidR="00880768" w:rsidRDefault="00880768" w:rsidP="00880768">
      <w:r>
        <w:t>Under behandlingen av PUD for Valhall Vestflanke jobbet OD for at det skulle legges til rette for fremtidige muligheter. I forbindelse med beslutning om videreføring sommeren 2017 valgte oper</w:t>
      </w:r>
      <w:r>
        <w:t>a</w:t>
      </w:r>
      <w:r>
        <w:t>tøren, i tråd med ODs anbefalinger, et konsept med ledige brønnslisser og mulighet for konvert</w:t>
      </w:r>
      <w:r>
        <w:t>e</w:t>
      </w:r>
      <w:r>
        <w:t>ring av produksjonsbrønner til vanninjeksjonsbrønner. Konseptet ble lagt til grunn i PUD, som ble levert i desember.</w:t>
      </w:r>
    </w:p>
    <w:p w:rsidR="00880768" w:rsidRDefault="00880768" w:rsidP="00880768">
      <w:r>
        <w:t>I den nordlige delen av Nordsjøen vurderes flere løsninger for en samordnet utbygging av ressu</w:t>
      </w:r>
      <w:r>
        <w:t>r</w:t>
      </w:r>
      <w:r>
        <w:t>sene i NOAKA-området (North of Alvheim og Krafla/Askja). I mai ba myndighetene operatørene i området om å utrede alternative utbyggingsløsninger for hele området og legge frem en felles ra</w:t>
      </w:r>
      <w:r>
        <w:t>p</w:t>
      </w:r>
      <w:r>
        <w:t>port. OD følger opp utredningsarbeidet, som vil fortsette inn i 2018.</w:t>
      </w:r>
    </w:p>
    <w:p w:rsidR="00880768" w:rsidRDefault="00880768" w:rsidP="00880768">
      <w:r>
        <w:t>Direktoratet er opptatt av en fornuftig avveining mellom olje- og gassuttak, slik at det legges til rette for størst mulig verdiskaping. På Oseberg har OD fulgt dette tett, og i tråd med direktoratets anbefaling fikk ikke rettighetshaverne innvilget sin søknad om økt gassuttak i 2017.</w:t>
      </w:r>
    </w:p>
    <w:p w:rsidR="00880768" w:rsidRDefault="00880768" w:rsidP="00880768">
      <w:pPr>
        <w:pStyle w:val="avsnitt-under-undertittel"/>
      </w:pPr>
      <w:r>
        <w:t>Norskehavet</w:t>
      </w:r>
    </w:p>
    <w:p w:rsidR="00880768" w:rsidRDefault="00880768" w:rsidP="00880768">
      <w:r>
        <w:t>Heidrun er et stort felt med store, gjenværende ressurser, lang produksjonshorisont og høyt aktiv</w:t>
      </w:r>
      <w:r>
        <w:t>i</w:t>
      </w:r>
      <w:r>
        <w:t>tetsnivå. OD har fulgt opp videreutviklingen av de nordlige områdene av Heidrun og gassdispon</w:t>
      </w:r>
      <w:r>
        <w:t>e</w:t>
      </w:r>
      <w:r>
        <w:t>ringen på feltet. Det er gitt tillatelse til en testperiode med økt gasseksport for å vurdere effekten på olje- og trykkutviklingen. Utnyttelse av ressursene i de nordlige områdene vil være viktig i my</w:t>
      </w:r>
      <w:r>
        <w:t>n</w:t>
      </w:r>
      <w:r>
        <w:t>dighetenes vurdering av en forventet søknad om forlengelse av utvinningstillatelsene.</w:t>
      </w:r>
    </w:p>
    <w:p w:rsidR="00880768" w:rsidRDefault="00880768" w:rsidP="00880768">
      <w:r>
        <w:t>I oppfølgingen av Norne, med satellittene Urd og Skuld, arbeidet direktoratet i 2017 med maks</w:t>
      </w:r>
      <w:r>
        <w:t>i</w:t>
      </w:r>
      <w:r>
        <w:t>mering av ressursuttaket gjennom proaktiv reservoarstyring og modning av muligheter for verd</w:t>
      </w:r>
      <w:r>
        <w:t>i</w:t>
      </w:r>
      <w:r>
        <w:t>skaping. OD er opptatt av at infrastrukturen utnyttes best mulig og at verdiskapingen på Norne fortsetter utover nåværende levetid for Norne FPSO. I november søkte rettighetshaverne Petrol</w:t>
      </w:r>
      <w:r>
        <w:t>e</w:t>
      </w:r>
      <w:r>
        <w:lastRenderedPageBreak/>
        <w:t>umstilsynet om samtykke til forlenget drift til utgangen av 2036. En forlengelse av levetiden for FPSOen vil bidra til en god ressursutvikling, både på Norne, Urd, Skuld, Alve og Marulk.</w:t>
      </w:r>
    </w:p>
    <w:p w:rsidR="00880768" w:rsidRDefault="00880768" w:rsidP="00880768">
      <w:pPr>
        <w:pStyle w:val="avsnitt-under-undertittel"/>
      </w:pPr>
      <w:r>
        <w:t>Barentshavet</w:t>
      </w:r>
    </w:p>
    <w:p w:rsidR="00880768" w:rsidRDefault="00880768" w:rsidP="00880768">
      <w:r>
        <w:t>Direktoratet har fulgt utviklingen rundt Alta og Gohta tett. Enkelte av rettighetshaverne har ønsket å utsette planlagt prøveutvinning fra Alta, noe som ville medført økte kostnader og utsatt beslu</w:t>
      </w:r>
      <w:r>
        <w:t>t</w:t>
      </w:r>
      <w:r>
        <w:t>ningsløp for utbygging. OD har derfor arbeidet for at prøveutvinning utføres i henhold til plan, med forventet oppstart i juni 2018.</w:t>
      </w:r>
    </w:p>
    <w:p w:rsidR="00880768" w:rsidRDefault="00880768" w:rsidP="00880768">
      <w:r>
        <w:t>I oppfølgingen av Goliat har direktoratet vært spesielt opptatt av å sikre ressursgrunnlaget og at operatøren sikrer en best mulig dreneringsstrategi for feltet. OD har vært en pådriver for boring av brønnene i Snadd-reservoaret, samt arbeidet med rettighetshavergruppen for å sikre nødvendig u</w:t>
      </w:r>
      <w:r>
        <w:t>t</w:t>
      </w:r>
      <w:r>
        <w:t xml:space="preserve">styr til brønnene. Det har også vært fulgt opp at utvinningstillatelsen borer opp ytterligere letemål og IOR-brønner, noe som vil sikre at Goliat får nødvendige ressurser til installasjonen. Direktoratet har vært en pådriver for at Goliat også skal arbeide med vanninjeksjon. Det har bidratt til at Eni har hatt ekstra fokus på vanninjeksjon. </w:t>
      </w:r>
    </w:p>
    <w:p w:rsidR="00880768" w:rsidRDefault="00880768" w:rsidP="00880768">
      <w:r>
        <w:t>I forbindelse med utbyggingen av Johan Castberg ble det arbeidet det med modning av teknisk u</w:t>
      </w:r>
      <w:r>
        <w:t>n</w:t>
      </w:r>
      <w:r>
        <w:t>derlag for eventuelt å kunne bygge en landterminal. Direktoratet har fulgt utviklingen i selskapenes arbeid med å gjøre de nødvendige vurderingene for å sikre en god områdeløsning.</w:t>
      </w:r>
    </w:p>
    <w:p w:rsidR="00880768" w:rsidRDefault="00880768" w:rsidP="00880768">
      <w:pPr>
        <w:pStyle w:val="avsnitt-under-undertittel"/>
      </w:pPr>
      <w:r>
        <w:t>Nye utbygginger</w:t>
      </w:r>
    </w:p>
    <w:p w:rsidR="00880768" w:rsidRDefault="00880768" w:rsidP="00880768">
      <w:r>
        <w:t>Ved utgangen av 2017 pågikk ni utbyggingsprosjekter. OD har fulgt opp utvalgte prosjekter i u</w:t>
      </w:r>
      <w:r>
        <w:t>t</w:t>
      </w:r>
      <w:r>
        <w:t>byggingsfasen med formål å bidra til erfaringsoverføring fra prosjekter i gjennomføringsfasen, og redusere risikoen for kostnadsoverskridelser på kommende prosjekter.</w:t>
      </w:r>
    </w:p>
    <w:p w:rsidR="00880768" w:rsidRDefault="00880768" w:rsidP="00880768">
      <w:r>
        <w:t>Direktoratet har behandlet seks PUDer. Disse var Utgard, Byrding, Oda, Dvalin, Trestakk og Ba</w:t>
      </w:r>
      <w:r>
        <w:t>u</w:t>
      </w:r>
      <w:r>
        <w:t>ge. I tillegg ble endret PUD for Njord videreutvikling og Ekofisk 2/4 C behandlet. Disse utby</w:t>
      </w:r>
      <w:r>
        <w:t>g</w:t>
      </w:r>
      <w:r>
        <w:t>gingene er eksempler på at felt og ressurser knyttes opp mot eksisterende infrastruktur og bidrar til effektiv utnyttelse av etablert kapasitet. I tillegg ble det mot slutten av året levert flere PUDer til behandling.</w:t>
      </w:r>
    </w:p>
    <w:p w:rsidR="00880768" w:rsidRDefault="00880768" w:rsidP="00880768">
      <w:r>
        <w:t>OD forventer at alle lønnsomme ressurser realiseres og at tidskritiske prosjekter prioriteres. Det er viktig at det tas hensyn til etablert infrastruktur i planleggingen av nye prosjekter. Begrenset gje</w:t>
      </w:r>
      <w:r>
        <w:t>n</w:t>
      </w:r>
      <w:r>
        <w:t xml:space="preserve">værende levetid på infrastruktur vil kunne medføre at det er tidskritisk å bygge ut enkelte funn. </w:t>
      </w:r>
    </w:p>
    <w:p w:rsidR="00880768" w:rsidRDefault="00880768" w:rsidP="00880768">
      <w:pPr>
        <w:pStyle w:val="avsnitt-under-undertittel"/>
      </w:pPr>
      <w:r>
        <w:t>Øvrige aktiviteter</w:t>
      </w:r>
    </w:p>
    <w:p w:rsidR="00880768" w:rsidRDefault="00880768" w:rsidP="00880768">
      <w:r>
        <w:t>OD gjennomgår operatørenes utbyggingsplaner ved nye utbygginger og større ombygginger. Valg av kraftløsning skal sikre en best mulig ressursforvaltning og verdiskaping for området totalt. D</w:t>
      </w:r>
      <w:r>
        <w:t>i</w:t>
      </w:r>
      <w:r>
        <w:t>rektoratet har vurdert kraftløsningen for alle nye PUD er som ble levert og gjennomførte vurd</w:t>
      </w:r>
      <w:r>
        <w:t>e</w:t>
      </w:r>
      <w:r>
        <w:t>ringer av kapasitet for områdeløsningen for kraft fra land til Johan Sverdrup.</w:t>
      </w:r>
    </w:p>
    <w:p w:rsidR="00880768" w:rsidRDefault="00880768" w:rsidP="00880768">
      <w:r>
        <w:t>I samarbeid med departementet gjennomførte OD våren 2017 en møteserie med utvalgte operatører for prosjekter i utbyggingsfasen. Hensikten med møteserien er å bidra til erfaringsoverføring fra prosjekter i gjennomføringsfasen og innhente kunnskap som kan redusere risikoen for kostnad</w:t>
      </w:r>
      <w:r>
        <w:t>s</w:t>
      </w:r>
      <w:r>
        <w:t>overskridelser i fremtidige prosjekter. En tilsvarende møteserie med operatører for andre utby</w:t>
      </w:r>
      <w:r>
        <w:t>g</w:t>
      </w:r>
      <w:r>
        <w:t>gingsprosjekter ble gjennomført i august.</w:t>
      </w:r>
    </w:p>
    <w:p w:rsidR="00880768" w:rsidRDefault="00880768" w:rsidP="00880768">
      <w:r>
        <w:t>OD har hatt et tett samarbeid med Gassco i en studie av mulig fremtidig konsolidering av gassi</w:t>
      </w:r>
      <w:r>
        <w:t>n</w:t>
      </w:r>
      <w:r>
        <w:t xml:space="preserve">frastrukturen på norsk sokkel. </w:t>
      </w:r>
    </w:p>
    <w:p w:rsidR="00880768" w:rsidRDefault="00880768" w:rsidP="00880768">
      <w:pPr>
        <w:pStyle w:val="avsnitt-undertittel"/>
      </w:pPr>
      <w:r>
        <w:lastRenderedPageBreak/>
        <w:t>Være nasjonalt sokkelbibliotek og spre fakta og kunnskap</w:t>
      </w:r>
    </w:p>
    <w:p w:rsidR="00880768" w:rsidRDefault="00880768" w:rsidP="00880768">
      <w:r>
        <w:t xml:space="preserve">Et godt fakta- og kunnskapsgrunnlag er en forutsetning for at myndighetene skal kunne spille en avgjørende rolle i ressursforvaltningen. Grunnlaget baseres dels på informasjon fra oljeselskapene og dels på ODs egne undersøkelser og analyser. Kunnskapen brukes som grunnlag for ODs faglige råd til OED, og videre til politiske beslutninger om norsk petroleumspolitikk. </w:t>
      </w:r>
    </w:p>
    <w:p w:rsidR="00880768" w:rsidRDefault="00880768" w:rsidP="00880768">
      <w:r>
        <w:t>Rettighetshavere skal rapportere data og opplysninger om aktivitetene i de enkelte utvinningstill</w:t>
      </w:r>
      <w:r>
        <w:t>a</w:t>
      </w:r>
      <w:r>
        <w:t>telsene. Innrapporterte data kvalitetskontrolleres og registreres i databaser for videre bruk. Det dreier seg om seismiske undersøkelser, rapporter om resultater fra leteboringer og produksjonstall per felt per måned. I tillegg mottar direktoratet årlig oppdaterte data fra operatørene gjennom ra</w:t>
      </w:r>
      <w:r>
        <w:t>p</w:t>
      </w:r>
      <w:r>
        <w:t xml:space="preserve">porteringen av prognoser til Revidert Nasjonalbudsjett, samt årlige statusrapporter. OD utarbeider ressursregnskapet for norsk sokkel med tilhørende prognoser for produksjon, kostnader og utslipp basert på disse dataene. Til nasjonalbudsjettet 2018 ble oppdaterte prognoser med hovedvekt på kostnader og produksjon oversendt departementet i juni 2017. </w:t>
      </w:r>
    </w:p>
    <w:p w:rsidR="00880768" w:rsidRDefault="00880768" w:rsidP="00880768">
      <w:r>
        <w:t xml:space="preserve">Direktoratet formidler kunnskap om sokkelen på flere ulike måter, blant annet gjennom faktasidene på ODs nettsted, </w:t>
      </w:r>
      <w:r>
        <w:rPr>
          <w:rStyle w:val="kursiv"/>
          <w:sz w:val="21"/>
          <w:szCs w:val="21"/>
        </w:rPr>
        <w:t>norskpetroleum.no</w:t>
      </w:r>
      <w:r>
        <w:t xml:space="preserve"> og ved deltakelse på eksterne arenaer. Direktoratets største, egne formidlingsarrangement er den årlige pressekonferansen «Sokkelåret» i januar, med presentasjon av resultatene fra fjorårets virksomhet på norsk sokkel og prognosene for de nærmeste årene.</w:t>
      </w:r>
    </w:p>
    <w:p w:rsidR="00880768" w:rsidRDefault="00880768" w:rsidP="00880768">
      <w:r>
        <w:t xml:space="preserve">OD har gjennomført et omfattende strategiarbeid, som blant annet har resultert i en ny strategiplan for kommunikasjon. Et vesentlig element i strategien er å ivareta overgangen fra trykte til digitale medier og det at en stadig større del av befolkningen oppdaterer seg via sosiale medier. </w:t>
      </w:r>
    </w:p>
    <w:p w:rsidR="00880768" w:rsidRDefault="00880768" w:rsidP="00880768">
      <w:r>
        <w:t>Direktoratet har videreutviklet nettportalen SMIL (Smart Interaktiv Lisensadministrasjon), et sy</w:t>
      </w:r>
      <w:r>
        <w:t>s</w:t>
      </w:r>
      <w:r>
        <w:t xml:space="preserve">tem for innrapportering av data. </w:t>
      </w:r>
    </w:p>
    <w:p w:rsidR="00880768" w:rsidRDefault="00880768" w:rsidP="00880768">
      <w:r>
        <w:t>OD har fortsatt arbeidet med informasjonssikkerhet for å sikre at alle prosesser gjennomføres si</w:t>
      </w:r>
      <w:r>
        <w:t>k</w:t>
      </w:r>
      <w:r>
        <w:t>kert og effektivt. I henhold til eForvaltningsforskriften ble det etablert et styringssystem for info</w:t>
      </w:r>
      <w:r>
        <w:t>r</w:t>
      </w:r>
      <w:r>
        <w:t>masjonssikkerhet basert på en ISO-standard. Videre prioriterte man å øke kapasiteten og komp</w:t>
      </w:r>
      <w:r>
        <w:t>e</w:t>
      </w:r>
      <w:r>
        <w:t>tansen innenfor informasjonssikkerhetsområdet.</w:t>
      </w:r>
    </w:p>
    <w:p w:rsidR="00880768" w:rsidRDefault="00880768" w:rsidP="00880768">
      <w:r>
        <w:t xml:space="preserve">Departementet vurderer det slik at OD gjennom sitt arbeid med å være et nasjonalt sokkelbibliotek i 2017 har bidratt til å spre fakta og kunnskap på en effektiv og god måte. </w:t>
      </w:r>
    </w:p>
    <w:p w:rsidR="00880768" w:rsidRDefault="00880768" w:rsidP="00880768">
      <w:pPr>
        <w:pStyle w:val="b-budkaptit"/>
      </w:pPr>
      <w:r>
        <w:t>Kap. 1810 Oljedirektoratet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880768" w:rsidTr="0034191D">
        <w:trPr>
          <w:trHeight w:val="640"/>
        </w:trPr>
        <w:tc>
          <w:tcPr>
            <w:tcW w:w="1140" w:type="dxa"/>
            <w:shd w:val="clear" w:color="auto" w:fill="FFFFFF"/>
          </w:tcPr>
          <w:p w:rsidR="00880768" w:rsidRDefault="00880768" w:rsidP="0034191D">
            <w:pPr>
              <w:pStyle w:val="Tabellnavn"/>
            </w:pPr>
            <w:r>
              <w:t>KPAL</w:t>
            </w:r>
          </w:p>
        </w:tc>
        <w:tc>
          <w:tcPr>
            <w:tcW w:w="4560" w:type="dxa"/>
          </w:tcPr>
          <w:p w:rsidR="00880768" w:rsidRDefault="00880768" w:rsidP="0034191D">
            <w:pPr>
              <w:pStyle w:val="Tabellnavn"/>
            </w:pPr>
          </w:p>
        </w:tc>
        <w:tc>
          <w:tcPr>
            <w:tcW w:w="1140" w:type="dxa"/>
          </w:tcPr>
          <w:p w:rsidR="00880768" w:rsidRDefault="00880768" w:rsidP="0034191D">
            <w:pPr>
              <w:pStyle w:val="Tabellnavn"/>
              <w:jc w:val="right"/>
            </w:pPr>
          </w:p>
        </w:tc>
        <w:tc>
          <w:tcPr>
            <w:tcW w:w="1140" w:type="dxa"/>
          </w:tcPr>
          <w:p w:rsidR="00880768" w:rsidRDefault="00880768" w:rsidP="0034191D">
            <w:pPr>
              <w:pStyle w:val="Tabellnavn"/>
              <w:jc w:val="right"/>
            </w:pPr>
          </w:p>
        </w:tc>
        <w:tc>
          <w:tcPr>
            <w:tcW w:w="1140" w:type="dxa"/>
          </w:tcPr>
          <w:p w:rsidR="00880768" w:rsidRDefault="00880768" w:rsidP="0034191D">
            <w:pPr>
              <w:jc w:val="right"/>
            </w:pPr>
            <w:r>
              <w:t>(i 1 000 kr)</w:t>
            </w:r>
          </w:p>
        </w:tc>
      </w:tr>
      <w:tr w:rsidR="00880768" w:rsidTr="0034191D">
        <w:trPr>
          <w:trHeight w:val="600"/>
        </w:trPr>
        <w:tc>
          <w:tcPr>
            <w:tcW w:w="1140" w:type="dxa"/>
          </w:tcPr>
          <w:p w:rsidR="00880768" w:rsidRDefault="00880768" w:rsidP="0034191D">
            <w:r>
              <w:t>Post</w:t>
            </w:r>
          </w:p>
        </w:tc>
        <w:tc>
          <w:tcPr>
            <w:tcW w:w="4560" w:type="dxa"/>
          </w:tcPr>
          <w:p w:rsidR="00880768" w:rsidRDefault="00880768" w:rsidP="0034191D">
            <w:r>
              <w:t>Betegnelse</w:t>
            </w:r>
          </w:p>
        </w:tc>
        <w:tc>
          <w:tcPr>
            <w:tcW w:w="1140" w:type="dxa"/>
          </w:tcPr>
          <w:p w:rsidR="00880768" w:rsidRDefault="00880768" w:rsidP="0034191D">
            <w:pPr>
              <w:jc w:val="right"/>
            </w:pPr>
            <w:r>
              <w:t>Reg</w:t>
            </w:r>
            <w:r>
              <w:t>n</w:t>
            </w:r>
            <w:r>
              <w:t>skap 2017</w:t>
            </w:r>
          </w:p>
        </w:tc>
        <w:tc>
          <w:tcPr>
            <w:tcW w:w="1140" w:type="dxa"/>
          </w:tcPr>
          <w:p w:rsidR="00880768" w:rsidRDefault="00880768" w:rsidP="0034191D">
            <w:pPr>
              <w:jc w:val="right"/>
            </w:pPr>
            <w:r>
              <w:t xml:space="preserve">Saldert </w:t>
            </w:r>
            <w:r>
              <w:rPr>
                <w:sz w:val="22"/>
              </w:rPr>
              <w:br/>
            </w:r>
            <w:r>
              <w:t>budsjett 2018</w:t>
            </w:r>
          </w:p>
        </w:tc>
        <w:tc>
          <w:tcPr>
            <w:tcW w:w="1140" w:type="dxa"/>
          </w:tcPr>
          <w:p w:rsidR="00880768" w:rsidRDefault="00880768" w:rsidP="0034191D">
            <w:pPr>
              <w:jc w:val="right"/>
            </w:pPr>
            <w:r>
              <w:t xml:space="preserve">Forslag </w:t>
            </w:r>
            <w:r>
              <w:rPr>
                <w:sz w:val="22"/>
              </w:rPr>
              <w:br/>
            </w:r>
            <w:r>
              <w:t>2019</w:t>
            </w:r>
          </w:p>
        </w:tc>
      </w:tr>
      <w:tr w:rsidR="00880768" w:rsidTr="0034191D">
        <w:trPr>
          <w:trHeight w:val="380"/>
        </w:trPr>
        <w:tc>
          <w:tcPr>
            <w:tcW w:w="1140" w:type="dxa"/>
          </w:tcPr>
          <w:p w:rsidR="00880768" w:rsidRDefault="00880768" w:rsidP="0034191D">
            <w:r>
              <w:t>01</w:t>
            </w:r>
          </w:p>
        </w:tc>
        <w:tc>
          <w:tcPr>
            <w:tcW w:w="4560" w:type="dxa"/>
          </w:tcPr>
          <w:p w:rsidR="00880768" w:rsidRDefault="00880768" w:rsidP="0034191D">
            <w:r>
              <w:t xml:space="preserve">Driftsutgifter </w:t>
            </w:r>
          </w:p>
        </w:tc>
        <w:tc>
          <w:tcPr>
            <w:tcW w:w="1140" w:type="dxa"/>
          </w:tcPr>
          <w:p w:rsidR="00880768" w:rsidRDefault="00880768" w:rsidP="0034191D">
            <w:pPr>
              <w:jc w:val="right"/>
            </w:pPr>
            <w:r>
              <w:t>295 737</w:t>
            </w:r>
          </w:p>
        </w:tc>
        <w:tc>
          <w:tcPr>
            <w:tcW w:w="1140" w:type="dxa"/>
          </w:tcPr>
          <w:p w:rsidR="00880768" w:rsidRDefault="00880768" w:rsidP="0034191D">
            <w:pPr>
              <w:jc w:val="right"/>
            </w:pPr>
            <w:r>
              <w:t>297 808</w:t>
            </w:r>
          </w:p>
        </w:tc>
        <w:tc>
          <w:tcPr>
            <w:tcW w:w="1140" w:type="dxa"/>
          </w:tcPr>
          <w:p w:rsidR="00880768" w:rsidRDefault="00880768" w:rsidP="0034191D">
            <w:pPr>
              <w:jc w:val="right"/>
            </w:pPr>
            <w:r>
              <w:t>304 000</w:t>
            </w:r>
          </w:p>
        </w:tc>
      </w:tr>
      <w:tr w:rsidR="00880768" w:rsidTr="0034191D">
        <w:trPr>
          <w:trHeight w:val="380"/>
        </w:trPr>
        <w:tc>
          <w:tcPr>
            <w:tcW w:w="1140" w:type="dxa"/>
          </w:tcPr>
          <w:p w:rsidR="00880768" w:rsidRDefault="00880768" w:rsidP="0034191D">
            <w:r>
              <w:t>21</w:t>
            </w:r>
          </w:p>
        </w:tc>
        <w:tc>
          <w:tcPr>
            <w:tcW w:w="4560" w:type="dxa"/>
          </w:tcPr>
          <w:p w:rsidR="00880768" w:rsidRDefault="00880768" w:rsidP="0034191D">
            <w:r>
              <w:t>Spesielle driftsutgifter</w:t>
            </w:r>
            <w:r>
              <w:rPr>
                <w:rStyle w:val="kursiv"/>
                <w:sz w:val="21"/>
                <w:szCs w:val="21"/>
              </w:rPr>
              <w:t xml:space="preserve">, kan overføres </w:t>
            </w:r>
          </w:p>
        </w:tc>
        <w:tc>
          <w:tcPr>
            <w:tcW w:w="1140" w:type="dxa"/>
          </w:tcPr>
          <w:p w:rsidR="00880768" w:rsidRDefault="00880768" w:rsidP="0034191D">
            <w:pPr>
              <w:jc w:val="right"/>
            </w:pPr>
            <w:r>
              <w:t>43 762</w:t>
            </w:r>
          </w:p>
        </w:tc>
        <w:tc>
          <w:tcPr>
            <w:tcW w:w="1140" w:type="dxa"/>
          </w:tcPr>
          <w:p w:rsidR="00880768" w:rsidRDefault="00880768" w:rsidP="0034191D">
            <w:pPr>
              <w:jc w:val="right"/>
            </w:pPr>
            <w:r>
              <w:t>31 927</w:t>
            </w:r>
          </w:p>
        </w:tc>
        <w:tc>
          <w:tcPr>
            <w:tcW w:w="1140" w:type="dxa"/>
          </w:tcPr>
          <w:p w:rsidR="00880768" w:rsidRDefault="00880768" w:rsidP="0034191D">
            <w:pPr>
              <w:jc w:val="right"/>
            </w:pPr>
            <w:r>
              <w:t>82 000</w:t>
            </w:r>
          </w:p>
        </w:tc>
      </w:tr>
      <w:tr w:rsidR="00880768" w:rsidTr="0034191D">
        <w:trPr>
          <w:trHeight w:val="640"/>
        </w:trPr>
        <w:tc>
          <w:tcPr>
            <w:tcW w:w="1140" w:type="dxa"/>
          </w:tcPr>
          <w:p w:rsidR="00880768" w:rsidRDefault="00880768" w:rsidP="0034191D">
            <w:r>
              <w:t>23</w:t>
            </w:r>
          </w:p>
        </w:tc>
        <w:tc>
          <w:tcPr>
            <w:tcW w:w="4560" w:type="dxa"/>
          </w:tcPr>
          <w:p w:rsidR="00880768" w:rsidRDefault="00880768" w:rsidP="0034191D">
            <w:r>
              <w:t>Oppdrags- og samarbeidsvirksomhet</w:t>
            </w:r>
            <w:r>
              <w:rPr>
                <w:rStyle w:val="kursiv"/>
                <w:sz w:val="21"/>
                <w:szCs w:val="21"/>
              </w:rPr>
              <w:t xml:space="preserve">, </w:t>
            </w:r>
            <w:r>
              <w:rPr>
                <w:rStyle w:val="kursiv"/>
                <w:sz w:val="21"/>
                <w:szCs w:val="21"/>
              </w:rPr>
              <w:br/>
              <w:t xml:space="preserve">kan overføres </w:t>
            </w:r>
          </w:p>
        </w:tc>
        <w:tc>
          <w:tcPr>
            <w:tcW w:w="1140" w:type="dxa"/>
          </w:tcPr>
          <w:p w:rsidR="00880768" w:rsidRDefault="00880768" w:rsidP="0034191D">
            <w:pPr>
              <w:jc w:val="right"/>
            </w:pPr>
            <w:r>
              <w:t>107 708</w:t>
            </w:r>
          </w:p>
        </w:tc>
        <w:tc>
          <w:tcPr>
            <w:tcW w:w="1140" w:type="dxa"/>
          </w:tcPr>
          <w:p w:rsidR="00880768" w:rsidRDefault="00880768" w:rsidP="0034191D">
            <w:pPr>
              <w:jc w:val="right"/>
            </w:pPr>
            <w:r>
              <w:t>116 750</w:t>
            </w:r>
          </w:p>
        </w:tc>
        <w:tc>
          <w:tcPr>
            <w:tcW w:w="1140" w:type="dxa"/>
          </w:tcPr>
          <w:p w:rsidR="00880768" w:rsidRDefault="00880768" w:rsidP="0034191D">
            <w:pPr>
              <w:jc w:val="right"/>
            </w:pPr>
            <w:r>
              <w:t>119 000</w:t>
            </w:r>
          </w:p>
        </w:tc>
      </w:tr>
      <w:tr w:rsidR="00880768" w:rsidTr="0034191D">
        <w:trPr>
          <w:trHeight w:val="380"/>
        </w:trPr>
        <w:tc>
          <w:tcPr>
            <w:tcW w:w="1140" w:type="dxa"/>
          </w:tcPr>
          <w:p w:rsidR="00880768" w:rsidRDefault="00880768" w:rsidP="0034191D"/>
        </w:tc>
        <w:tc>
          <w:tcPr>
            <w:tcW w:w="4560" w:type="dxa"/>
          </w:tcPr>
          <w:p w:rsidR="00880768" w:rsidRDefault="00880768" w:rsidP="0034191D">
            <w:r>
              <w:t>Sum kap. 1810</w:t>
            </w:r>
          </w:p>
        </w:tc>
        <w:tc>
          <w:tcPr>
            <w:tcW w:w="1140" w:type="dxa"/>
          </w:tcPr>
          <w:p w:rsidR="00880768" w:rsidRDefault="00880768" w:rsidP="0034191D">
            <w:pPr>
              <w:jc w:val="right"/>
            </w:pPr>
            <w:r>
              <w:t>447 207</w:t>
            </w:r>
          </w:p>
        </w:tc>
        <w:tc>
          <w:tcPr>
            <w:tcW w:w="1140" w:type="dxa"/>
          </w:tcPr>
          <w:p w:rsidR="00880768" w:rsidRDefault="00880768" w:rsidP="0034191D">
            <w:pPr>
              <w:jc w:val="right"/>
            </w:pPr>
            <w:r>
              <w:t>446 485</w:t>
            </w:r>
          </w:p>
        </w:tc>
        <w:tc>
          <w:tcPr>
            <w:tcW w:w="1140" w:type="dxa"/>
          </w:tcPr>
          <w:p w:rsidR="00880768" w:rsidRDefault="00880768" w:rsidP="0034191D">
            <w:pPr>
              <w:jc w:val="right"/>
            </w:pPr>
            <w:r>
              <w:t>505 000</w:t>
            </w:r>
          </w:p>
        </w:tc>
      </w:tr>
    </w:tbl>
    <w:p w:rsidR="00880768" w:rsidRDefault="00880768" w:rsidP="00880768">
      <w:pPr>
        <w:pStyle w:val="b-post"/>
      </w:pPr>
      <w:r>
        <w:t>Post 01 Driftsutgifter</w:t>
      </w:r>
    </w:p>
    <w:p w:rsidR="00880768" w:rsidRDefault="00880768" w:rsidP="00880768">
      <w:r>
        <w:t xml:space="preserve">Posten omfatter lønnsutgifter og andre utgifter til drift av Oljedirektoratet. Lønnsrelaterte utgifter utgjør om lag 70 prosent. </w:t>
      </w:r>
    </w:p>
    <w:p w:rsidR="00880768" w:rsidRDefault="00880768" w:rsidP="00880768">
      <w:r>
        <w:lastRenderedPageBreak/>
        <w:t xml:space="preserve">Det foreslås en bevilgning på 304 mill. kroner. Økningen fra saldert budsjett 2018 har sammenheng med kompensasjon for virkningen av lønnsoppgjøret i staten for 2018. </w:t>
      </w:r>
    </w:p>
    <w:p w:rsidR="00880768" w:rsidRDefault="00880768" w:rsidP="00880768">
      <w:pPr>
        <w:pStyle w:val="b-post"/>
      </w:pPr>
      <w:r>
        <w:t>Post 21 Spesielle driftsutgifter, kan overføres</w:t>
      </w:r>
    </w:p>
    <w:p w:rsidR="00880768" w:rsidRDefault="00880768" w:rsidP="00880768">
      <w:r>
        <w:t>Posten omfatter utgifter til geologisk kartlegging av kontinentalsokkelen, herunder petroleumsre</w:t>
      </w:r>
      <w:r>
        <w:t>s</w:t>
      </w:r>
      <w:r>
        <w:t xml:space="preserve">surser og mineraler på havbunnen. I uåpnede områder er det kun staten som kan drive kartlegging. Innsamling av kunnskap for å øke den geologiske forståelsen og ressurspotensialet på norsk sokkel er avgjørende for å sikre god ressursforvaltning og ivareta norske nasjonale interesser. </w:t>
      </w:r>
    </w:p>
    <w:p w:rsidR="00880768" w:rsidRDefault="00880768" w:rsidP="00880768">
      <w:r>
        <w:t>Det foreslås en bevilgning på 82 mill. kroner og en fullmakt til å pådra forpliktelser for inntil 10 mill. kroner utover gitt bevilgning, jf. forslag til vedtak VI. Økningen fra saldert budsjett 2018 har sammenheng med kunnskapsinnhenting i Barentshavet nord gjennom innsamling av 3D-seismikk over en stor grenseoverskridende struktur på delelinjen mot Russland.</w:t>
      </w:r>
    </w:p>
    <w:p w:rsidR="00880768" w:rsidRDefault="00880768" w:rsidP="00880768">
      <w:pPr>
        <w:pStyle w:val="b-post"/>
      </w:pPr>
      <w:r>
        <w:t>Post 23 Oppdrags- og samarbeidsvirksomhet, kan overføres</w:t>
      </w:r>
    </w:p>
    <w:p w:rsidR="00880768" w:rsidRDefault="00880768" w:rsidP="00880768">
      <w:r>
        <w:t>Posten omfatter utgifter til oppgaver innenfor dataforvaltning og utvinningsteknologi, herunder utgifter til samarbeidsprosjektene Diskos og Force. Videre omfatter det utgifter knyttet til ODs samarbeidsavtale med Norad om rådgiving innenfor petroleumsforvaltning for utviklingsland.</w:t>
      </w:r>
    </w:p>
    <w:p w:rsidR="00880768" w:rsidRDefault="00880768" w:rsidP="00880768">
      <w:r>
        <w:t>Det foreslås en bevilgning på 119 mill. kroner og en fullmakt til å overskride bevilgningen mot tilsvarende merinntekt under kap. 4810, post 02 Oppdrags- og samarbeidsinntekter, jf. forslag til vedtak II.</w:t>
      </w:r>
    </w:p>
    <w:p w:rsidR="00880768" w:rsidRDefault="00880768" w:rsidP="00880768">
      <w:pPr>
        <w:pStyle w:val="b-budkaptit"/>
      </w:pPr>
      <w:r>
        <w:t>Kap. 4810 Oljedirektoratet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880768" w:rsidTr="00F7050B">
        <w:trPr>
          <w:trHeight w:val="640"/>
        </w:trPr>
        <w:tc>
          <w:tcPr>
            <w:tcW w:w="1140" w:type="dxa"/>
            <w:shd w:val="clear" w:color="auto" w:fill="FFFFFF"/>
          </w:tcPr>
          <w:p w:rsidR="00880768" w:rsidRDefault="00880768" w:rsidP="00F7050B">
            <w:pPr>
              <w:pStyle w:val="Tabellnavn"/>
            </w:pPr>
            <w:r>
              <w:t>KPAL</w:t>
            </w:r>
          </w:p>
        </w:tc>
        <w:tc>
          <w:tcPr>
            <w:tcW w:w="4560" w:type="dxa"/>
          </w:tcPr>
          <w:p w:rsidR="00880768" w:rsidRDefault="00880768" w:rsidP="00F7050B">
            <w:pPr>
              <w:pStyle w:val="Tabellnavn"/>
            </w:pPr>
          </w:p>
        </w:tc>
        <w:tc>
          <w:tcPr>
            <w:tcW w:w="1140" w:type="dxa"/>
          </w:tcPr>
          <w:p w:rsidR="00880768" w:rsidRDefault="00880768" w:rsidP="00F7050B">
            <w:pPr>
              <w:pStyle w:val="Tabellnavn"/>
              <w:jc w:val="right"/>
            </w:pPr>
          </w:p>
        </w:tc>
        <w:tc>
          <w:tcPr>
            <w:tcW w:w="1140" w:type="dxa"/>
          </w:tcPr>
          <w:p w:rsidR="00880768" w:rsidRDefault="00880768" w:rsidP="00F7050B">
            <w:pPr>
              <w:pStyle w:val="Tabellnavn"/>
              <w:jc w:val="right"/>
            </w:pPr>
          </w:p>
        </w:tc>
        <w:tc>
          <w:tcPr>
            <w:tcW w:w="1140" w:type="dxa"/>
          </w:tcPr>
          <w:p w:rsidR="00880768" w:rsidRDefault="00880768" w:rsidP="00F7050B">
            <w:pPr>
              <w:jc w:val="right"/>
            </w:pPr>
            <w:r>
              <w:t>(i 1 000 kr)</w:t>
            </w:r>
          </w:p>
        </w:tc>
      </w:tr>
      <w:tr w:rsidR="00880768" w:rsidTr="00F7050B">
        <w:trPr>
          <w:trHeight w:val="600"/>
        </w:trPr>
        <w:tc>
          <w:tcPr>
            <w:tcW w:w="1140" w:type="dxa"/>
          </w:tcPr>
          <w:p w:rsidR="00880768" w:rsidRDefault="00880768" w:rsidP="00F7050B">
            <w:r>
              <w:t>Post</w:t>
            </w:r>
          </w:p>
        </w:tc>
        <w:tc>
          <w:tcPr>
            <w:tcW w:w="4560" w:type="dxa"/>
          </w:tcPr>
          <w:p w:rsidR="00880768" w:rsidRDefault="00880768" w:rsidP="00F7050B">
            <w:r>
              <w:t>Betegnelse</w:t>
            </w:r>
          </w:p>
        </w:tc>
        <w:tc>
          <w:tcPr>
            <w:tcW w:w="1140" w:type="dxa"/>
          </w:tcPr>
          <w:p w:rsidR="00880768" w:rsidRDefault="00880768" w:rsidP="00F7050B">
            <w:pPr>
              <w:jc w:val="right"/>
            </w:pPr>
            <w:r>
              <w:t>Reg</w:t>
            </w:r>
            <w:r>
              <w:t>n</w:t>
            </w:r>
            <w:r>
              <w:t>skap 2017</w:t>
            </w:r>
          </w:p>
        </w:tc>
        <w:tc>
          <w:tcPr>
            <w:tcW w:w="1140" w:type="dxa"/>
          </w:tcPr>
          <w:p w:rsidR="00880768" w:rsidRDefault="00880768" w:rsidP="00F7050B">
            <w:pPr>
              <w:jc w:val="right"/>
            </w:pPr>
            <w:r>
              <w:t xml:space="preserve">Saldert </w:t>
            </w:r>
            <w:r>
              <w:rPr>
                <w:sz w:val="22"/>
              </w:rPr>
              <w:br/>
            </w:r>
            <w:r>
              <w:t>budsjett 2018</w:t>
            </w:r>
          </w:p>
        </w:tc>
        <w:tc>
          <w:tcPr>
            <w:tcW w:w="1140" w:type="dxa"/>
          </w:tcPr>
          <w:p w:rsidR="00880768" w:rsidRDefault="00880768" w:rsidP="00F7050B">
            <w:pPr>
              <w:jc w:val="right"/>
            </w:pPr>
            <w:r>
              <w:t xml:space="preserve">Forslag </w:t>
            </w:r>
            <w:r>
              <w:rPr>
                <w:sz w:val="22"/>
              </w:rPr>
              <w:br/>
            </w:r>
            <w:r>
              <w:t>2019</w:t>
            </w:r>
          </w:p>
        </w:tc>
      </w:tr>
      <w:tr w:rsidR="00880768" w:rsidTr="00F7050B">
        <w:trPr>
          <w:trHeight w:val="380"/>
        </w:trPr>
        <w:tc>
          <w:tcPr>
            <w:tcW w:w="1140" w:type="dxa"/>
          </w:tcPr>
          <w:p w:rsidR="00880768" w:rsidRDefault="00880768" w:rsidP="00F7050B">
            <w:r>
              <w:t>01</w:t>
            </w:r>
          </w:p>
        </w:tc>
        <w:tc>
          <w:tcPr>
            <w:tcW w:w="4560" w:type="dxa"/>
          </w:tcPr>
          <w:p w:rsidR="00880768" w:rsidRDefault="00880768" w:rsidP="00F7050B">
            <w:r>
              <w:t xml:space="preserve">Gebyrinntekter </w:t>
            </w:r>
          </w:p>
        </w:tc>
        <w:tc>
          <w:tcPr>
            <w:tcW w:w="1140" w:type="dxa"/>
          </w:tcPr>
          <w:p w:rsidR="00880768" w:rsidRDefault="00880768" w:rsidP="00F7050B">
            <w:pPr>
              <w:jc w:val="right"/>
            </w:pPr>
            <w:r>
              <w:t>33 166</w:t>
            </w:r>
          </w:p>
        </w:tc>
        <w:tc>
          <w:tcPr>
            <w:tcW w:w="1140" w:type="dxa"/>
          </w:tcPr>
          <w:p w:rsidR="00880768" w:rsidRDefault="00880768" w:rsidP="00F7050B">
            <w:pPr>
              <w:jc w:val="right"/>
            </w:pPr>
            <w:r>
              <w:t>25 627</w:t>
            </w:r>
          </w:p>
        </w:tc>
        <w:tc>
          <w:tcPr>
            <w:tcW w:w="1140" w:type="dxa"/>
          </w:tcPr>
          <w:p w:rsidR="00880768" w:rsidRDefault="00880768" w:rsidP="00F7050B">
            <w:pPr>
              <w:jc w:val="right"/>
            </w:pPr>
            <w:r>
              <w:t>26 500</w:t>
            </w:r>
          </w:p>
        </w:tc>
      </w:tr>
      <w:tr w:rsidR="00880768" w:rsidTr="00F7050B">
        <w:trPr>
          <w:trHeight w:val="380"/>
        </w:trPr>
        <w:tc>
          <w:tcPr>
            <w:tcW w:w="1140" w:type="dxa"/>
          </w:tcPr>
          <w:p w:rsidR="00880768" w:rsidRDefault="00880768" w:rsidP="00F7050B">
            <w:r>
              <w:t>02</w:t>
            </w:r>
          </w:p>
        </w:tc>
        <w:tc>
          <w:tcPr>
            <w:tcW w:w="4560" w:type="dxa"/>
          </w:tcPr>
          <w:p w:rsidR="00880768" w:rsidRDefault="00880768" w:rsidP="00F7050B">
            <w:r>
              <w:t xml:space="preserve">Oppdrags- og samarbeidsinntekter </w:t>
            </w:r>
          </w:p>
        </w:tc>
        <w:tc>
          <w:tcPr>
            <w:tcW w:w="1140" w:type="dxa"/>
          </w:tcPr>
          <w:p w:rsidR="00880768" w:rsidRDefault="00880768" w:rsidP="00F7050B">
            <w:pPr>
              <w:jc w:val="right"/>
            </w:pPr>
            <w:r>
              <w:t>107 538</w:t>
            </w:r>
          </w:p>
        </w:tc>
        <w:tc>
          <w:tcPr>
            <w:tcW w:w="1140" w:type="dxa"/>
          </w:tcPr>
          <w:p w:rsidR="00880768" w:rsidRDefault="00880768" w:rsidP="00F7050B">
            <w:pPr>
              <w:jc w:val="right"/>
            </w:pPr>
            <w:r>
              <w:t>116 751</w:t>
            </w:r>
          </w:p>
        </w:tc>
        <w:tc>
          <w:tcPr>
            <w:tcW w:w="1140" w:type="dxa"/>
          </w:tcPr>
          <w:p w:rsidR="00880768" w:rsidRDefault="00880768" w:rsidP="00F7050B">
            <w:pPr>
              <w:jc w:val="right"/>
            </w:pPr>
            <w:r>
              <w:t>119 000</w:t>
            </w:r>
          </w:p>
        </w:tc>
      </w:tr>
      <w:tr w:rsidR="00880768" w:rsidTr="00F7050B">
        <w:trPr>
          <w:trHeight w:val="380"/>
        </w:trPr>
        <w:tc>
          <w:tcPr>
            <w:tcW w:w="1140" w:type="dxa"/>
          </w:tcPr>
          <w:p w:rsidR="00880768" w:rsidRDefault="00880768" w:rsidP="00F7050B">
            <w:r>
              <w:t>10</w:t>
            </w:r>
          </w:p>
        </w:tc>
        <w:tc>
          <w:tcPr>
            <w:tcW w:w="4560" w:type="dxa"/>
          </w:tcPr>
          <w:p w:rsidR="00880768" w:rsidRDefault="00880768" w:rsidP="00F7050B">
            <w:r>
              <w:t xml:space="preserve">Refusjoner </w:t>
            </w:r>
          </w:p>
        </w:tc>
        <w:tc>
          <w:tcPr>
            <w:tcW w:w="1140" w:type="dxa"/>
          </w:tcPr>
          <w:p w:rsidR="00880768" w:rsidRDefault="00880768" w:rsidP="00F7050B">
            <w:pPr>
              <w:jc w:val="right"/>
            </w:pPr>
            <w:r>
              <w:t>1 741</w:t>
            </w:r>
          </w:p>
        </w:tc>
        <w:tc>
          <w:tcPr>
            <w:tcW w:w="1140" w:type="dxa"/>
          </w:tcPr>
          <w:p w:rsidR="00880768" w:rsidRDefault="00880768" w:rsidP="00F7050B">
            <w:pPr>
              <w:jc w:val="right"/>
            </w:pPr>
          </w:p>
        </w:tc>
        <w:tc>
          <w:tcPr>
            <w:tcW w:w="1140" w:type="dxa"/>
          </w:tcPr>
          <w:p w:rsidR="00880768" w:rsidRDefault="00880768" w:rsidP="00F7050B">
            <w:pPr>
              <w:jc w:val="right"/>
            </w:pPr>
          </w:p>
        </w:tc>
      </w:tr>
      <w:tr w:rsidR="00880768" w:rsidTr="00F7050B">
        <w:trPr>
          <w:trHeight w:val="380"/>
        </w:trPr>
        <w:tc>
          <w:tcPr>
            <w:tcW w:w="1140" w:type="dxa"/>
          </w:tcPr>
          <w:p w:rsidR="00880768" w:rsidRDefault="00880768" w:rsidP="00F7050B"/>
        </w:tc>
        <w:tc>
          <w:tcPr>
            <w:tcW w:w="4560" w:type="dxa"/>
          </w:tcPr>
          <w:p w:rsidR="00880768" w:rsidRDefault="00880768" w:rsidP="00F7050B">
            <w:r>
              <w:t>Sum kap. 4810</w:t>
            </w:r>
          </w:p>
        </w:tc>
        <w:tc>
          <w:tcPr>
            <w:tcW w:w="1140" w:type="dxa"/>
          </w:tcPr>
          <w:p w:rsidR="00880768" w:rsidRDefault="00880768" w:rsidP="00F7050B">
            <w:pPr>
              <w:jc w:val="right"/>
            </w:pPr>
            <w:r>
              <w:t>142 445</w:t>
            </w:r>
          </w:p>
        </w:tc>
        <w:tc>
          <w:tcPr>
            <w:tcW w:w="1140" w:type="dxa"/>
          </w:tcPr>
          <w:p w:rsidR="00880768" w:rsidRDefault="00880768" w:rsidP="00F7050B">
            <w:pPr>
              <w:jc w:val="right"/>
            </w:pPr>
            <w:r>
              <w:t>142 378</w:t>
            </w:r>
          </w:p>
        </w:tc>
        <w:tc>
          <w:tcPr>
            <w:tcW w:w="1140" w:type="dxa"/>
          </w:tcPr>
          <w:p w:rsidR="00880768" w:rsidRDefault="00880768" w:rsidP="00F7050B">
            <w:pPr>
              <w:jc w:val="right"/>
            </w:pPr>
            <w:r>
              <w:t>145 500</w:t>
            </w:r>
          </w:p>
        </w:tc>
      </w:tr>
    </w:tbl>
    <w:p w:rsidR="00880768" w:rsidRDefault="00880768" w:rsidP="00880768">
      <w:pPr>
        <w:pStyle w:val="b-post"/>
      </w:pPr>
      <w:r>
        <w:t>Post 01 Gebyrinntekter</w:t>
      </w:r>
    </w:p>
    <w:p w:rsidR="00880768" w:rsidRDefault="00880768" w:rsidP="00880768">
      <w:r>
        <w:t>Posten omfatter gebyrinntekter fra konsesjonssøknader, undersøkelses- og utvinningstillatelser, seismiske undersøkelser, registreringer i petroleumsregisteret og refusjon av tilsynsutgifter.</w:t>
      </w:r>
    </w:p>
    <w:p w:rsidR="00880768" w:rsidRDefault="00880768" w:rsidP="00880768">
      <w:pPr>
        <w:pStyle w:val="b-post"/>
      </w:pPr>
      <w:r>
        <w:t>Post 02 Oppdrags- og samarbeidsinntekter</w:t>
      </w:r>
    </w:p>
    <w:p w:rsidR="00880768" w:rsidRDefault="00880768" w:rsidP="00880768">
      <w:r>
        <w:t>Posten omfatter inntekter fra oppdrags- og samarbeidsvirksomheten, jf. kap. 1810, post 23.</w:t>
      </w:r>
    </w:p>
    <w:p w:rsidR="00880768" w:rsidRDefault="00880768" w:rsidP="00880768">
      <w:pPr>
        <w:pStyle w:val="Undertittel"/>
      </w:pPr>
      <w:r>
        <w:lastRenderedPageBreak/>
        <w:t>Petoro AS</w:t>
      </w:r>
    </w:p>
    <w:p w:rsidR="00880768" w:rsidRDefault="00880768" w:rsidP="00880768">
      <w:r>
        <w:t>Petoro er et statlig aksjeselskap som ivaretar statens direkte økonomiske engasjement i petroleum</w:t>
      </w:r>
      <w:r>
        <w:t>s</w:t>
      </w:r>
      <w:r>
        <w:t>virksomheten (SDØE) på et forretningsmessig grunnlag. Selskapet er lokalisert i Stavanger og u</w:t>
      </w:r>
      <w:r>
        <w:t>t</w:t>
      </w:r>
      <w:r>
        <w:t xml:space="preserve">førte om lag 64 årsverk i 2017. </w:t>
      </w:r>
    </w:p>
    <w:p w:rsidR="00880768" w:rsidRDefault="00880768" w:rsidP="00880768">
      <w:r>
        <w:t>Petoro er forskjellig fra andre rettighetshavere på norsk kontinentalsokkel blant annet ved at se</w:t>
      </w:r>
      <w:r>
        <w:t>l</w:t>
      </w:r>
      <w:r>
        <w:t>skapet ikke</w:t>
      </w:r>
    </w:p>
    <w:p w:rsidR="00880768" w:rsidRDefault="00880768" w:rsidP="00880768">
      <w:pPr>
        <w:pStyle w:val="Liste"/>
      </w:pPr>
      <w:r>
        <w:t>er eier, men rettighetshaver for statens deltakerandeler i utvinningstillatelser, felt, rørle</w:t>
      </w:r>
      <w:r>
        <w:t>d</w:t>
      </w:r>
      <w:r>
        <w:t>ninger og landanlegg. Petoro er heller ikke operatør.</w:t>
      </w:r>
    </w:p>
    <w:p w:rsidR="00880768" w:rsidRDefault="00880768" w:rsidP="00880768">
      <w:pPr>
        <w:pStyle w:val="Liste"/>
      </w:pPr>
      <w:r>
        <w:t>selv står for salg av olje og gass som selskapet forvalter og er således ikke en aktør i olje- og gassmarkedene. Gjennom en egen instruks er Equinor ASA gitt ansvaret for avsetning av statens petroleum. Alle inntekter fra Equinors avsetning av volumer fra SDØE-porteføljen går direkte fra Equinor og inn på statens konto.</w:t>
      </w:r>
    </w:p>
    <w:p w:rsidR="00880768" w:rsidRDefault="00880768" w:rsidP="00880768">
      <w:pPr>
        <w:pStyle w:val="avsnitt-tittel"/>
      </w:pPr>
      <w:r>
        <w:t>Mål</w:t>
      </w:r>
    </w:p>
    <w:p w:rsidR="00880768" w:rsidRDefault="00880768" w:rsidP="00880768">
      <w:r>
        <w:t>Petoros overordnede mål for ivaretakelsen av SDØE-porteføljen er å skape størst mulig verdi og oppnå høyest mulig inntekt til staten. På bakgrunn av rammer og føringer for Petoros virksomhet som følger av petroleumslovens kapittel 11, relevante stortingsdokumenter og selskapets vedtekter, har Olje- og energidepartementet som ansvarlig eierdepartement definert følgende hovedoppgaver for selskapet:</w:t>
      </w:r>
    </w:p>
    <w:p w:rsidR="00880768" w:rsidRDefault="00880768" w:rsidP="00880768">
      <w:pPr>
        <w:pStyle w:val="Liste"/>
      </w:pPr>
      <w:r>
        <w:t>Ivaretakelse av statens direkte deltakerandeler i interessentskap der staten til enhver tid har slike.</w:t>
      </w:r>
    </w:p>
    <w:p w:rsidR="00880768" w:rsidRDefault="00880768" w:rsidP="00880768">
      <w:pPr>
        <w:pStyle w:val="Liste"/>
      </w:pPr>
      <w:r>
        <w:t>Overvåking av Equinors avsetning av den petroleum som produseres fra statens direkte deltakerandeler i tråd med Equinors avsetningsinstruks.</w:t>
      </w:r>
    </w:p>
    <w:p w:rsidR="00880768" w:rsidRDefault="00880768" w:rsidP="00880768">
      <w:pPr>
        <w:pStyle w:val="Liste"/>
      </w:pPr>
      <w:r>
        <w:t>Økonomistyring, herunder føring av regnskap, for statens direkte deltakerandeler.</w:t>
      </w:r>
    </w:p>
    <w:p w:rsidR="00880768" w:rsidRDefault="00880768" w:rsidP="00880768">
      <w:pPr>
        <w:pStyle w:val="avsnitt-undertittel"/>
      </w:pPr>
      <w:r>
        <w:t>Ivaretakelse av statens direkte deltakerandeler</w:t>
      </w:r>
    </w:p>
    <w:p w:rsidR="00880768" w:rsidRDefault="00880768" w:rsidP="00880768">
      <w:r>
        <w:t>Petoro skal være en aktiv partner som gjennom helhetsvurderinger skal bidra til å maksimere ve</w:t>
      </w:r>
      <w:r>
        <w:t>r</w:t>
      </w:r>
      <w:r>
        <w:t>dien av SDØE-porteføljen. Arbeidet skal orienteres mot områder og oppgaver der selskapet med utgangspunkt i porteføljen, og i samspill med øvrige aktører på norsk kontinentalsokkel, i særlig grad kan bidra til å øke verdiskapingen, hensyntatt statens samlede økonomiske interesser. Petoro skal sikre effektiv og lønnsom utbygging og drift samt sikkerhet for mennesker og miljø.</w:t>
      </w:r>
    </w:p>
    <w:p w:rsidR="00880768" w:rsidRDefault="00880768" w:rsidP="00880768">
      <w:r>
        <w:t>Petoro skal gjennom eget dybdearbeid, studier og verifikasjoner bidra til:</w:t>
      </w:r>
    </w:p>
    <w:p w:rsidR="00880768" w:rsidRDefault="00880768" w:rsidP="00880768">
      <w:pPr>
        <w:pStyle w:val="Liste"/>
      </w:pPr>
      <w:proofErr w:type="gramStart"/>
      <w:r>
        <w:t>høyest mulig lønnsom produksjon og verdi fra modne felt.</w:t>
      </w:r>
      <w:proofErr w:type="gramEnd"/>
      <w:r>
        <w:t xml:space="preserve"> </w:t>
      </w:r>
    </w:p>
    <w:p w:rsidR="00880768" w:rsidRDefault="00880768" w:rsidP="00880768">
      <w:pPr>
        <w:pStyle w:val="Liste"/>
      </w:pPr>
      <w:proofErr w:type="gramStart"/>
      <w:r>
        <w:t>gode driftsforberedelser for prosjekter i gjennomføringsfasen.</w:t>
      </w:r>
      <w:proofErr w:type="gramEnd"/>
    </w:p>
    <w:p w:rsidR="00880768" w:rsidRDefault="00880768" w:rsidP="00880768">
      <w:pPr>
        <w:pStyle w:val="Liste"/>
      </w:pPr>
      <w:proofErr w:type="gramStart"/>
      <w:r>
        <w:t>realisering av nye utbyggingsprosjekter samt utnyttelse av tidskritisk infrastruktur i felt og transportsystemer.</w:t>
      </w:r>
      <w:proofErr w:type="gramEnd"/>
    </w:p>
    <w:p w:rsidR="00880768" w:rsidRDefault="00880768" w:rsidP="00880768">
      <w:r>
        <w:t>Petoro skal ha særlig oppmerksomhet mot HMS-risiko, brønnmodning og boreeffektivitet, digital</w:t>
      </w:r>
      <w:r>
        <w:t>i</w:t>
      </w:r>
      <w:r>
        <w:t xml:space="preserve">sering, kostnadsutvikling og effektiv driftspraksis på tvers av utvinningstillatelsene i SDØE-porteføljen. </w:t>
      </w:r>
    </w:p>
    <w:p w:rsidR="00880768" w:rsidRDefault="00880768" w:rsidP="00880768">
      <w:pPr>
        <w:pStyle w:val="avsnitt-undertittel"/>
      </w:pPr>
      <w:r>
        <w:t>Overvåking av Equinors avsetning av statens petroleum</w:t>
      </w:r>
    </w:p>
    <w:p w:rsidR="00880768" w:rsidRDefault="00880768" w:rsidP="00880768">
      <w:r>
        <w:t xml:space="preserve">Petoro skal overvåke at Equinor utfører avsetningen av statens petroleum sammen med sin egen i samsvar med avsetningsinstruks gitt til Equinor ASA, herunder rettmessigfordeling av inntekter og kostnader mellom staten og Equinor. </w:t>
      </w:r>
    </w:p>
    <w:p w:rsidR="00880768" w:rsidRDefault="00880768" w:rsidP="00880768">
      <w:r>
        <w:lastRenderedPageBreak/>
        <w:t>Petoro skal overvåke avsetningen av statens petroleum med oppmerksomhet på markedssituasj</w:t>
      </w:r>
      <w:r>
        <w:t>o</w:t>
      </w:r>
      <w:r>
        <w:t xml:space="preserve">nen, potensielle interesseulikheter samt saker av stor verdimessig betydning. </w:t>
      </w:r>
    </w:p>
    <w:p w:rsidR="00880768" w:rsidRDefault="00880768" w:rsidP="00880768">
      <w:pPr>
        <w:pStyle w:val="avsnitt-undertittel"/>
      </w:pPr>
      <w:r>
        <w:t>Økonomistyring</w:t>
      </w:r>
    </w:p>
    <w:p w:rsidR="00880768" w:rsidRDefault="00880768" w:rsidP="00880768">
      <w:r>
        <w:t>Petoro skal:</w:t>
      </w:r>
    </w:p>
    <w:p w:rsidR="00880768" w:rsidRDefault="00880768" w:rsidP="00880768">
      <w:pPr>
        <w:pStyle w:val="Liste"/>
      </w:pPr>
      <w:r>
        <w:t>ivareta god økonomistyring og kontroll av SDØE i samsvar med Reglement for økonom</w:t>
      </w:r>
      <w:r>
        <w:t>i</w:t>
      </w:r>
      <w:r>
        <w:t>styring i staten og instruks for økonomistyring av SDØE</w:t>
      </w:r>
    </w:p>
    <w:p w:rsidR="00880768" w:rsidRDefault="00880768" w:rsidP="00880768">
      <w:pPr>
        <w:pStyle w:val="Liste"/>
      </w:pPr>
      <w:r>
        <w:t>utarbeide og følge opp budsjett og prognoser, forestå regnskapsføring og foreta periodiske avviksanalyser og rapportering av SDØEs finansielle tilstand og utvikling.</w:t>
      </w:r>
    </w:p>
    <w:p w:rsidR="00880768" w:rsidRDefault="00880768" w:rsidP="00880768">
      <w:pPr>
        <w:pStyle w:val="avsnitt-tittel"/>
      </w:pPr>
      <w:r>
        <w:t>Resultatrapport 2017</w:t>
      </w:r>
    </w:p>
    <w:p w:rsidR="00880768" w:rsidRDefault="00880768" w:rsidP="00880768">
      <w:r>
        <w:t xml:space="preserve">Petoro hadde et positivt årsresultat på om lag 6,4 mill. kroner, som ble overført annen egenkapital. Annen egenkapital var om lag 7,3 mill. kroner per 31. desember 2017. </w:t>
      </w:r>
    </w:p>
    <w:p w:rsidR="00880768" w:rsidRDefault="00880768" w:rsidP="00880768">
      <w:pPr>
        <w:pStyle w:val="avsnitt-undertittel"/>
      </w:pPr>
      <w:r>
        <w:t xml:space="preserve">Ivaretakelse av statens direkte andeler </w:t>
      </w:r>
    </w:p>
    <w:p w:rsidR="00880768" w:rsidRDefault="00880768" w:rsidP="00880768">
      <w:r>
        <w:t xml:space="preserve">Selskapet har i 2017 særlig prioritert arbeid med modne felt og feltutvikling. </w:t>
      </w:r>
    </w:p>
    <w:p w:rsidR="00880768" w:rsidRDefault="00880768" w:rsidP="00880768">
      <w:pPr>
        <w:pStyle w:val="avsnitt-under-undertittel"/>
      </w:pPr>
      <w:r>
        <w:t xml:space="preserve">Modne felt </w:t>
      </w:r>
    </w:p>
    <w:p w:rsidR="00880768" w:rsidRDefault="00880768" w:rsidP="00880768">
      <w:r>
        <w:t>Petoro legger ned en betydelig innsats knyttet til de modne feltene i SDØE-porteføljen med sikte på å øke utvinningen fra prioriterte felt gjennom valg av gode løsninger for langsiktig feltutvikling, boring av flere brønner per år og mer effektiv boring. Petoro har i 2017 rettet en særlig innsats mot feltene Snorre og Troll, samt mot brønnmodning på utvalgte felt. Rettighetshaverne for Snorre l</w:t>
      </w:r>
      <w:r>
        <w:t>e</w:t>
      </w:r>
      <w:r>
        <w:t>verte i desember 2017 endret plan for utbygging og drift av feltet til Olje- og energidepartementet. Forventet produksjonsstart for videreutviklingsprosjektet Snorre Expansion Project er i 2021. Pr</w:t>
      </w:r>
      <w:r>
        <w:t>o</w:t>
      </w:r>
      <w:r>
        <w:t>sjektet vil bidra til betydelig økte verdier fra Snorre-feltet. På Troll har Petoro gjennomført omfa</w:t>
      </w:r>
      <w:r>
        <w:t>t</w:t>
      </w:r>
      <w:r>
        <w:t xml:space="preserve">tende reservoartekniske studier for å bidra til en mest mulig helhetlig og fleksibel videreutvikling av feltet. </w:t>
      </w:r>
    </w:p>
    <w:p w:rsidR="00880768" w:rsidRDefault="00880768" w:rsidP="00880768">
      <w:pPr>
        <w:pStyle w:val="avsnitt-under-undertittel"/>
      </w:pPr>
      <w:r>
        <w:t xml:space="preserve">Feltutvikling </w:t>
      </w:r>
    </w:p>
    <w:p w:rsidR="00880768" w:rsidRDefault="00880768" w:rsidP="00880768">
      <w:r>
        <w:t>Petoro har arbeidet spesielt med utbyggingsprosjektene Sverdrup og Castberg. Petoro har fulgt opp gjennomføringen av fase 1 av Sverdrup, samt bidratt til å forberede en investeringsbeslutning for fase 2 av prosjektet. Plan for utbygging og drift av Castberg ble levert Olje- og energideparteme</w:t>
      </w:r>
      <w:r>
        <w:t>n</w:t>
      </w:r>
      <w:r>
        <w:t>tet i desember 2017. Petoro har blant annet lagt vekt på muligheten for permanent reservoarmon</w:t>
      </w:r>
      <w:r>
        <w:t>i</w:t>
      </w:r>
      <w:r>
        <w:t>torering og bidratt med vurderinger av ressurs- og kostnadsestimatene for feltet.</w:t>
      </w:r>
    </w:p>
    <w:p w:rsidR="00880768" w:rsidRDefault="00880768" w:rsidP="00880768">
      <w:pPr>
        <w:pStyle w:val="avsnitt-undertittel"/>
      </w:pPr>
      <w:r>
        <w:t xml:space="preserve">Overvåking av Equinors avsetning av statens petroleum </w:t>
      </w:r>
    </w:p>
    <w:p w:rsidR="00880768" w:rsidRDefault="00880768" w:rsidP="00880768">
      <w:r>
        <w:t xml:space="preserve">Petoro har prioritert å følge opp videreutviklingen av Equinors oppfølgingssystem for avsetningen for å sikre at nødvendige rutiner er på plass, herunder for det nye formelverket for LPG som ble innført med virkning fra 1. januar 2017. Utvalgte kontroller har blitt gjennomført for å påse at Equinor har fulgt avsetningsinstruksens bestemmelser om rettmessig fordeling av inntekter og kostnader mellom staten og Equinor. </w:t>
      </w:r>
    </w:p>
    <w:p w:rsidR="00880768" w:rsidRDefault="00880768" w:rsidP="00880768">
      <w:pPr>
        <w:pStyle w:val="avsnitt-undertittel"/>
      </w:pPr>
      <w:r>
        <w:t xml:space="preserve">Økonomistyring </w:t>
      </w:r>
    </w:p>
    <w:p w:rsidR="00880768" w:rsidRDefault="00880768" w:rsidP="00880768">
      <w:r>
        <w:t>Petoro har ivaretatt god økonomistyring og kontroll av SDØE i samsvar med Reglement for øk</w:t>
      </w:r>
      <w:r>
        <w:t>o</w:t>
      </w:r>
      <w:r>
        <w:t xml:space="preserve">nomistyring i staten og instruks for økonomistyring av SDØE. </w:t>
      </w:r>
    </w:p>
    <w:p w:rsidR="00880768" w:rsidRDefault="00880768" w:rsidP="00880768">
      <w:pPr>
        <w:pStyle w:val="avsnitt-undertittel"/>
      </w:pPr>
      <w:r>
        <w:lastRenderedPageBreak/>
        <w:t>Petoros bidrag til merverdi</w:t>
      </w:r>
    </w:p>
    <w:p w:rsidR="00880768" w:rsidRDefault="00880768" w:rsidP="00880768">
      <w:r>
        <w:t>Rystad Energy har på oppdrag fra Olje- og energidepartementet gjennomført en verdivurdering av SDØE-porteføljen per 1. januar 2018, jf. omtale under SDØE. Rystad Energy har i den forbindelse foretatt en vurdering av Petoros bidrag til merverdi for SDØE-porteføljen utover hva staten ville ha oppnådd uten en aktiv forvalter for årene 2016 og 2017.</w:t>
      </w:r>
    </w:p>
    <w:p w:rsidR="00880768" w:rsidRDefault="00880768" w:rsidP="00880768">
      <w:r>
        <w:t>Det er analysert 23 prosjekter fra årene 2016 og 2017 der Petoro mener å ha skapt merverdi for SDØE-porteføljen. Rystad anslår at merverdibidraget er mellom 8 og 14 mrd. kroner. Rystad Energy konkluderer med at Petoro bidrar til å skape betydelig merverdi for staten gjennom selsk</w:t>
      </w:r>
      <w:r>
        <w:t>a</w:t>
      </w:r>
      <w:r>
        <w:t xml:space="preserve">pets virksomhet i interessentskapene. </w:t>
      </w:r>
    </w:p>
    <w:p w:rsidR="00880768" w:rsidRDefault="00880768" w:rsidP="00880768">
      <w:r>
        <w:t>Det er knyttet usikkerhet til beregning av merverdibidraget. Anslaget er basert på Petoros egen d</w:t>
      </w:r>
      <w:r>
        <w:t>o</w:t>
      </w:r>
      <w:r>
        <w:t xml:space="preserve">kumentasjon og Rystad Energys makroforutsetninger. </w:t>
      </w:r>
    </w:p>
    <w:p w:rsidR="00880768" w:rsidRDefault="00880768" w:rsidP="00880768">
      <w:pPr>
        <w:pStyle w:val="b-budkaptit"/>
      </w:pPr>
      <w:r>
        <w:t>Kap. 1815 Petoro AS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880768" w:rsidTr="009643E5">
        <w:trPr>
          <w:trHeight w:val="640"/>
        </w:trPr>
        <w:tc>
          <w:tcPr>
            <w:tcW w:w="1140" w:type="dxa"/>
            <w:shd w:val="clear" w:color="auto" w:fill="FFFFFF"/>
          </w:tcPr>
          <w:p w:rsidR="00880768" w:rsidRDefault="00880768" w:rsidP="009643E5">
            <w:pPr>
              <w:pStyle w:val="Tabellnavn"/>
            </w:pPr>
            <w:r>
              <w:t>KPAL</w:t>
            </w:r>
          </w:p>
        </w:tc>
        <w:tc>
          <w:tcPr>
            <w:tcW w:w="4560" w:type="dxa"/>
          </w:tcPr>
          <w:p w:rsidR="00880768" w:rsidRDefault="00880768" w:rsidP="009643E5">
            <w:pPr>
              <w:pStyle w:val="Tabellnavn"/>
            </w:pPr>
          </w:p>
        </w:tc>
        <w:tc>
          <w:tcPr>
            <w:tcW w:w="1140" w:type="dxa"/>
          </w:tcPr>
          <w:p w:rsidR="00880768" w:rsidRDefault="00880768" w:rsidP="009643E5">
            <w:pPr>
              <w:pStyle w:val="Tabellnavn"/>
              <w:jc w:val="right"/>
            </w:pPr>
          </w:p>
        </w:tc>
        <w:tc>
          <w:tcPr>
            <w:tcW w:w="1140" w:type="dxa"/>
          </w:tcPr>
          <w:p w:rsidR="00880768" w:rsidRDefault="00880768" w:rsidP="009643E5">
            <w:pPr>
              <w:pStyle w:val="Tabellnavn"/>
              <w:jc w:val="right"/>
            </w:pPr>
          </w:p>
        </w:tc>
        <w:tc>
          <w:tcPr>
            <w:tcW w:w="1140" w:type="dxa"/>
          </w:tcPr>
          <w:p w:rsidR="00880768" w:rsidRDefault="00880768" w:rsidP="009643E5">
            <w:pPr>
              <w:jc w:val="right"/>
            </w:pPr>
            <w:r>
              <w:t>(i 1 000 kr)</w:t>
            </w:r>
          </w:p>
        </w:tc>
      </w:tr>
      <w:tr w:rsidR="00880768" w:rsidTr="009643E5">
        <w:trPr>
          <w:trHeight w:val="600"/>
        </w:trPr>
        <w:tc>
          <w:tcPr>
            <w:tcW w:w="1140" w:type="dxa"/>
          </w:tcPr>
          <w:p w:rsidR="00880768" w:rsidRDefault="00880768" w:rsidP="009643E5">
            <w:r>
              <w:t>Post</w:t>
            </w:r>
          </w:p>
        </w:tc>
        <w:tc>
          <w:tcPr>
            <w:tcW w:w="4560" w:type="dxa"/>
          </w:tcPr>
          <w:p w:rsidR="00880768" w:rsidRDefault="00880768" w:rsidP="009643E5">
            <w:r>
              <w:t>Betegnelse</w:t>
            </w:r>
          </w:p>
        </w:tc>
        <w:tc>
          <w:tcPr>
            <w:tcW w:w="1140" w:type="dxa"/>
          </w:tcPr>
          <w:p w:rsidR="00880768" w:rsidRDefault="00880768" w:rsidP="009643E5">
            <w:pPr>
              <w:jc w:val="right"/>
            </w:pPr>
            <w:r>
              <w:t>Reg</w:t>
            </w:r>
            <w:r>
              <w:t>n</w:t>
            </w:r>
            <w:r>
              <w:t>skap 2017</w:t>
            </w:r>
          </w:p>
        </w:tc>
        <w:tc>
          <w:tcPr>
            <w:tcW w:w="1140" w:type="dxa"/>
          </w:tcPr>
          <w:p w:rsidR="00880768" w:rsidRDefault="00880768" w:rsidP="009643E5">
            <w:pPr>
              <w:jc w:val="right"/>
            </w:pPr>
            <w:r>
              <w:t xml:space="preserve">Saldert </w:t>
            </w:r>
            <w:r>
              <w:rPr>
                <w:sz w:val="22"/>
              </w:rPr>
              <w:br/>
            </w:r>
            <w:r>
              <w:t>budsjett 2018</w:t>
            </w:r>
          </w:p>
        </w:tc>
        <w:tc>
          <w:tcPr>
            <w:tcW w:w="1140" w:type="dxa"/>
          </w:tcPr>
          <w:p w:rsidR="00880768" w:rsidRDefault="00880768" w:rsidP="009643E5">
            <w:pPr>
              <w:jc w:val="right"/>
            </w:pPr>
            <w:r>
              <w:t xml:space="preserve">Forslag </w:t>
            </w:r>
            <w:r>
              <w:rPr>
                <w:sz w:val="22"/>
              </w:rPr>
              <w:br/>
            </w:r>
            <w:r>
              <w:t>2019</w:t>
            </w:r>
          </w:p>
        </w:tc>
      </w:tr>
      <w:tr w:rsidR="00880768" w:rsidTr="009643E5">
        <w:trPr>
          <w:trHeight w:val="380"/>
        </w:trPr>
        <w:tc>
          <w:tcPr>
            <w:tcW w:w="1140" w:type="dxa"/>
          </w:tcPr>
          <w:p w:rsidR="00880768" w:rsidRDefault="00880768" w:rsidP="009643E5">
            <w:r>
              <w:t>70</w:t>
            </w:r>
          </w:p>
        </w:tc>
        <w:tc>
          <w:tcPr>
            <w:tcW w:w="4560" w:type="dxa"/>
          </w:tcPr>
          <w:p w:rsidR="00880768" w:rsidRDefault="00880768" w:rsidP="009643E5">
            <w:r>
              <w:t xml:space="preserve">Administrasjon </w:t>
            </w:r>
          </w:p>
        </w:tc>
        <w:tc>
          <w:tcPr>
            <w:tcW w:w="1140" w:type="dxa"/>
          </w:tcPr>
          <w:p w:rsidR="00880768" w:rsidRDefault="00880768" w:rsidP="009643E5">
            <w:pPr>
              <w:jc w:val="right"/>
            </w:pPr>
            <w:r>
              <w:t>342 685</w:t>
            </w:r>
          </w:p>
        </w:tc>
        <w:tc>
          <w:tcPr>
            <w:tcW w:w="1140" w:type="dxa"/>
          </w:tcPr>
          <w:p w:rsidR="00880768" w:rsidRDefault="00880768" w:rsidP="009643E5">
            <w:pPr>
              <w:jc w:val="right"/>
            </w:pPr>
            <w:r>
              <w:t>350 315</w:t>
            </w:r>
          </w:p>
        </w:tc>
        <w:tc>
          <w:tcPr>
            <w:tcW w:w="1140" w:type="dxa"/>
          </w:tcPr>
          <w:p w:rsidR="00880768" w:rsidRDefault="00880768" w:rsidP="009643E5">
            <w:pPr>
              <w:jc w:val="right"/>
            </w:pPr>
            <w:r>
              <w:t>358 700</w:t>
            </w:r>
          </w:p>
        </w:tc>
      </w:tr>
      <w:tr w:rsidR="00880768" w:rsidTr="009643E5">
        <w:trPr>
          <w:trHeight w:val="380"/>
        </w:trPr>
        <w:tc>
          <w:tcPr>
            <w:tcW w:w="1140" w:type="dxa"/>
          </w:tcPr>
          <w:p w:rsidR="00880768" w:rsidRDefault="00880768" w:rsidP="009643E5">
            <w:r>
              <w:t>72</w:t>
            </w:r>
          </w:p>
        </w:tc>
        <w:tc>
          <w:tcPr>
            <w:tcW w:w="4560" w:type="dxa"/>
          </w:tcPr>
          <w:p w:rsidR="00880768" w:rsidRDefault="00880768" w:rsidP="009643E5">
            <w:r>
              <w:t xml:space="preserve">Administrasjon, Petoro Iceland AS </w:t>
            </w:r>
          </w:p>
        </w:tc>
        <w:tc>
          <w:tcPr>
            <w:tcW w:w="1140" w:type="dxa"/>
          </w:tcPr>
          <w:p w:rsidR="00880768" w:rsidRDefault="00880768" w:rsidP="009643E5">
            <w:pPr>
              <w:jc w:val="right"/>
            </w:pPr>
            <w:r>
              <w:t>750</w:t>
            </w:r>
          </w:p>
        </w:tc>
        <w:tc>
          <w:tcPr>
            <w:tcW w:w="1140" w:type="dxa"/>
          </w:tcPr>
          <w:p w:rsidR="00880768" w:rsidRDefault="00880768" w:rsidP="009643E5">
            <w:pPr>
              <w:jc w:val="right"/>
            </w:pPr>
            <w:r>
              <w:t>1 497</w:t>
            </w:r>
          </w:p>
        </w:tc>
        <w:tc>
          <w:tcPr>
            <w:tcW w:w="1140" w:type="dxa"/>
          </w:tcPr>
          <w:p w:rsidR="00880768" w:rsidRDefault="00880768" w:rsidP="009643E5">
            <w:pPr>
              <w:jc w:val="right"/>
            </w:pPr>
          </w:p>
        </w:tc>
      </w:tr>
      <w:tr w:rsidR="00880768" w:rsidTr="009643E5">
        <w:trPr>
          <w:trHeight w:val="640"/>
        </w:trPr>
        <w:tc>
          <w:tcPr>
            <w:tcW w:w="1140" w:type="dxa"/>
          </w:tcPr>
          <w:p w:rsidR="00880768" w:rsidRDefault="00880768" w:rsidP="009643E5">
            <w:r>
              <w:t>73</w:t>
            </w:r>
          </w:p>
        </w:tc>
        <w:tc>
          <w:tcPr>
            <w:tcW w:w="4560" w:type="dxa"/>
          </w:tcPr>
          <w:p w:rsidR="00880768" w:rsidRDefault="00880768" w:rsidP="009643E5">
            <w:r>
              <w:t>Statlig deltakelse i petroleumsvirksomhet på islandsk kontinentalsokkel</w:t>
            </w:r>
            <w:r>
              <w:rPr>
                <w:rStyle w:val="kursiv"/>
                <w:sz w:val="21"/>
                <w:szCs w:val="21"/>
              </w:rPr>
              <w:t xml:space="preserve">, kan overføres </w:t>
            </w:r>
          </w:p>
        </w:tc>
        <w:tc>
          <w:tcPr>
            <w:tcW w:w="1140" w:type="dxa"/>
          </w:tcPr>
          <w:p w:rsidR="00880768" w:rsidRDefault="00880768" w:rsidP="009643E5">
            <w:pPr>
              <w:jc w:val="right"/>
            </w:pPr>
            <w:r>
              <w:t>5 500</w:t>
            </w:r>
          </w:p>
        </w:tc>
        <w:tc>
          <w:tcPr>
            <w:tcW w:w="1140" w:type="dxa"/>
          </w:tcPr>
          <w:p w:rsidR="00880768" w:rsidRDefault="00880768" w:rsidP="009643E5">
            <w:pPr>
              <w:jc w:val="right"/>
            </w:pPr>
            <w:r>
              <w:t>28 700</w:t>
            </w:r>
          </w:p>
        </w:tc>
        <w:tc>
          <w:tcPr>
            <w:tcW w:w="1140" w:type="dxa"/>
          </w:tcPr>
          <w:p w:rsidR="00880768" w:rsidRDefault="00880768" w:rsidP="009643E5">
            <w:pPr>
              <w:jc w:val="right"/>
            </w:pPr>
          </w:p>
        </w:tc>
      </w:tr>
      <w:tr w:rsidR="00880768" w:rsidTr="009643E5">
        <w:trPr>
          <w:trHeight w:val="380"/>
        </w:trPr>
        <w:tc>
          <w:tcPr>
            <w:tcW w:w="1140" w:type="dxa"/>
          </w:tcPr>
          <w:p w:rsidR="00880768" w:rsidRDefault="00880768" w:rsidP="009643E5"/>
        </w:tc>
        <w:tc>
          <w:tcPr>
            <w:tcW w:w="4560" w:type="dxa"/>
          </w:tcPr>
          <w:p w:rsidR="00880768" w:rsidRDefault="00880768" w:rsidP="009643E5">
            <w:r>
              <w:t>Sum kap. 1815</w:t>
            </w:r>
          </w:p>
        </w:tc>
        <w:tc>
          <w:tcPr>
            <w:tcW w:w="1140" w:type="dxa"/>
          </w:tcPr>
          <w:p w:rsidR="00880768" w:rsidRDefault="00880768" w:rsidP="009643E5">
            <w:pPr>
              <w:jc w:val="right"/>
            </w:pPr>
            <w:r>
              <w:t>348 935</w:t>
            </w:r>
          </w:p>
        </w:tc>
        <w:tc>
          <w:tcPr>
            <w:tcW w:w="1140" w:type="dxa"/>
          </w:tcPr>
          <w:p w:rsidR="00880768" w:rsidRDefault="00880768" w:rsidP="009643E5">
            <w:pPr>
              <w:jc w:val="right"/>
            </w:pPr>
            <w:r>
              <w:t>380 512</w:t>
            </w:r>
          </w:p>
        </w:tc>
        <w:tc>
          <w:tcPr>
            <w:tcW w:w="1140" w:type="dxa"/>
          </w:tcPr>
          <w:p w:rsidR="00880768" w:rsidRDefault="00880768" w:rsidP="009643E5">
            <w:pPr>
              <w:jc w:val="right"/>
            </w:pPr>
            <w:r>
              <w:t>358 700</w:t>
            </w:r>
          </w:p>
        </w:tc>
      </w:tr>
    </w:tbl>
    <w:p w:rsidR="00880768" w:rsidRDefault="00880768" w:rsidP="00880768">
      <w:pPr>
        <w:pStyle w:val="avsnitt-undertittel"/>
      </w:pPr>
      <w:r>
        <w:t>Vedrørende 2018</w:t>
      </w:r>
    </w:p>
    <w:p w:rsidR="00880768" w:rsidRDefault="00880768" w:rsidP="00880768">
      <w:r>
        <w:t>Ved Stortingets vedtak av 15. juni 2018 ble post 73 redusert med 10 mill. kroner, jf. Innst. 400 S (2017–2018).</w:t>
      </w:r>
    </w:p>
    <w:p w:rsidR="00880768" w:rsidRDefault="00880768" w:rsidP="00880768">
      <w:pPr>
        <w:pStyle w:val="b-post"/>
      </w:pPr>
      <w:r>
        <w:t>Post 70 Administrasjon</w:t>
      </w:r>
    </w:p>
    <w:p w:rsidR="00880768" w:rsidRDefault="00880768" w:rsidP="00880768">
      <w:r>
        <w:t xml:space="preserve">Posten omfatter utgifter til Petoros administrasjon og ivaretakelsen av SDØE-ordningen som ikke dekkes under kap. 2440/5440. Dette inkluderer utgifter til egen organisasjon og selskapets kjøp av eksterne tjenester, særlig knyttet til rådgivere og ekstern spisskompetanse. </w:t>
      </w:r>
    </w:p>
    <w:p w:rsidR="00880768" w:rsidRDefault="00880768" w:rsidP="00880768">
      <w:r>
        <w:t xml:space="preserve">Det foreslås en bevilgning på 358,7 mill. kroner og en fullmakt til å pådra forpliktelser for inntil 35 mill. kroner utover gitt bevilgning, jf. forslag til vedtak VI. </w:t>
      </w:r>
    </w:p>
    <w:p w:rsidR="00880768" w:rsidRDefault="00880768" w:rsidP="00880768">
      <w:r>
        <w:t>Videre foreslås en fullmakt til å utgiftsføre uten bevilgning under kap. 1815 Petoro AS, post 79 Erstatninger, eventuell erstatning til Norges Bank for netto rentetap og andre dokumenterte kos</w:t>
      </w:r>
      <w:r>
        <w:t>t</w:t>
      </w:r>
      <w:r>
        <w:t xml:space="preserve">nader grunnet avvik i varslet og faktisk innbetaling av valuta fra SDØE til Norges Bank, jf. forslag til vedtak IV. </w:t>
      </w:r>
    </w:p>
    <w:p w:rsidR="00880768" w:rsidRDefault="00880768" w:rsidP="00880768">
      <w:pPr>
        <w:pStyle w:val="b-post"/>
      </w:pPr>
      <w:r>
        <w:t>Post 72 Administrasjon, Petoro Iceland AS</w:t>
      </w:r>
    </w:p>
    <w:p w:rsidR="00880768" w:rsidRDefault="00880768" w:rsidP="00880768">
      <w:r>
        <w:t xml:space="preserve">Petoro Iceland AS er et heleid datterselskap av Petoro AS med filial på Island. Selskapet har fra 2013 til 2018 forvaltet statens deltakerandeler i tre utvinningstillatelser på islandsk sokkel. Det er </w:t>
      </w:r>
      <w:r>
        <w:lastRenderedPageBreak/>
        <w:t>besluttet ikke å videreføre aktivitetene i tillatelsene. Petoro Iceland er dermed ikke lenger retti</w:t>
      </w:r>
      <w:r>
        <w:t>g</w:t>
      </w:r>
      <w:r>
        <w:t xml:space="preserve">hetshaver på islandsk sokkel. </w:t>
      </w:r>
    </w:p>
    <w:p w:rsidR="00880768" w:rsidRDefault="00880768" w:rsidP="00880768">
      <w:pPr>
        <w:pStyle w:val="avsnitt-tittel"/>
      </w:pPr>
      <w:r>
        <w:t>Resultatrapport 2017</w:t>
      </w:r>
    </w:p>
    <w:p w:rsidR="00880768" w:rsidRDefault="00880768" w:rsidP="00880768">
      <w:r>
        <w:t xml:space="preserve">Petoro AS har ivaretatt de administrative funksjonene til Petoro Iceland i 2017. Petoro Iceland AS hadde et positivt årsresultat på 0,3 mill. kroner, som ble overført til annen egenkapital. Annen egenkapital var om lag 2,3 mill. kroner per 31. desember 2017. </w:t>
      </w:r>
    </w:p>
    <w:p w:rsidR="00880768" w:rsidRDefault="00880768" w:rsidP="00880768">
      <w:pPr>
        <w:pStyle w:val="b-post"/>
      </w:pPr>
      <w:r>
        <w:t>Post 73 Statlig deltakelse i petroleumsvirksomhet på islandsk kontinentalsokkel, kan overføres</w:t>
      </w:r>
    </w:p>
    <w:p w:rsidR="00880768" w:rsidRDefault="00880768" w:rsidP="00880768">
      <w:pPr>
        <w:pStyle w:val="avsnitt-tittel"/>
      </w:pPr>
      <w:r>
        <w:t>Resultatrapport 2017</w:t>
      </w:r>
    </w:p>
    <w:p w:rsidR="00880768" w:rsidRDefault="00880768" w:rsidP="00880768">
      <w:r>
        <w:t>Petoro Iceland har i 2017 vært deltaker med 25 prosent i én utvinningstillatelse på islandsk sokkel. Aktivitetene i 2017 har i hovedsak vært knyttet til prosessering og tolkning av innsamlede seismi</w:t>
      </w:r>
      <w:r>
        <w:t>s</w:t>
      </w:r>
      <w:r>
        <w:t>ke data.</w:t>
      </w:r>
    </w:p>
    <w:p w:rsidR="00880768" w:rsidRDefault="00880768" w:rsidP="00880768">
      <w:r>
        <w:t>Aktiviteten i utvinningstillatelsen følger et arbeidsprogram som er delt inn i tre faser. Første fase av arbeidsprogrammet for utvinningstillatelsen ble fullført høsten 2017. I tråd med operatørens anb</w:t>
      </w:r>
      <w:r>
        <w:t>e</w:t>
      </w:r>
      <w:r>
        <w:t>faling ble det i januar 2018 besluttet ikke å videreføre aktiviteten i tillatelsen til andre fase av a</w:t>
      </w:r>
      <w:r>
        <w:t>r</w:t>
      </w:r>
      <w:r>
        <w:t>beidsprogrammet. Islandske myndigheter anser tillatelsen som bortfalt.</w:t>
      </w:r>
    </w:p>
    <w:p w:rsidR="00880768" w:rsidRDefault="00880768" w:rsidP="00880768">
      <w:pPr>
        <w:pStyle w:val="Undertittel"/>
      </w:pPr>
      <w:r>
        <w:t>Statens direkte økonomiske engasjement i petroleumsvirksomheten</w:t>
      </w:r>
    </w:p>
    <w:p w:rsidR="00880768" w:rsidRDefault="00880768" w:rsidP="00880768">
      <w:r>
        <w:t>Petoro AS er, på vegne av staten, ivaretaker av Statens direkte økonomiske engasjement i petrol</w:t>
      </w:r>
      <w:r>
        <w:t>e</w:t>
      </w:r>
      <w:r>
        <w:t>umsvirksomheten (SDØE). SDØE-ordningen innebærer at staten, på lik linje med øvrige aktører på norsk sokkel, betaler en andel av alle investeringer og driftskostnader i prosjekter tilsvarende st</w:t>
      </w:r>
      <w:r>
        <w:t>a</w:t>
      </w:r>
      <w:r>
        <w:t>tens deltakerandel. Staten får en tilsvarende andel av inntektene fra salget av produksjonen og andre inntekter.</w:t>
      </w:r>
    </w:p>
    <w:p w:rsidR="00880768" w:rsidRDefault="00880768" w:rsidP="00880768">
      <w:pPr>
        <w:pStyle w:val="avsnitt-tittel"/>
      </w:pPr>
      <w:r>
        <w:t xml:space="preserve">Mål </w:t>
      </w:r>
    </w:p>
    <w:p w:rsidR="00880768" w:rsidRDefault="00880768" w:rsidP="00880768">
      <w:r>
        <w:t>Det overordnede langsiktige målet for forvaltningen av SDØE-porteføljen er å maksimere innte</w:t>
      </w:r>
      <w:r>
        <w:t>k</w:t>
      </w:r>
      <w:r>
        <w:t>tene til staten fra det direkte eierskapet på norsk kontinentalsokkel. SDØE, kombinert med skatte- og avgiftssystemet, er et velegnet virkemiddel for å sikre staten en stor andel av verdiskapingen i petroleumsvirksomheten.</w:t>
      </w:r>
    </w:p>
    <w:p w:rsidR="00880768" w:rsidRDefault="00880768" w:rsidP="00880768">
      <w:r>
        <w:t>Produksjon av olje og gass er en grunnrentevirksomhet. Meravkastningen oppstår som en følge av at ressursene eksisterer i begrensede mengder. Grunnrenten vil imidlertid være avhengig av prisene på olje og gass samt utvinningskostnadene. Eksistensen av grunnrente er en hovedårsak til at staten vil fortsette å ta en betydelig andel av inntektene fra petroleumsvirksomheten på norsk sokkel gjennom skatter, avgifter og SDØE-ordningen. På den måten sikrer man at størst mulig andel av grunnrenten tilfaller staten som ressurseier.</w:t>
      </w:r>
    </w:p>
    <w:p w:rsidR="00880768" w:rsidRDefault="00880768" w:rsidP="00880768">
      <w:pPr>
        <w:pStyle w:val="avsnitt-tittel"/>
      </w:pPr>
      <w:r>
        <w:t>SDØE-porteføljen</w:t>
      </w:r>
    </w:p>
    <w:p w:rsidR="00880768" w:rsidRDefault="00880768" w:rsidP="00880768">
      <w:r>
        <w:t>Porteføljen er sammensatt av utvinningstillatelser i letefasen, felt under utbygging og felt i drift. Videre er staten en stor eier i rørledninger og landanlegg. Staten hadde andeler i 186 utvinningsti</w:t>
      </w:r>
      <w:r>
        <w:t>l</w:t>
      </w:r>
      <w:r>
        <w:t>latelser og 16 interessentskap for rørledninger og landanlegg ved utgangen av 2017. Porteføljen består av 35 produserende felt.</w:t>
      </w:r>
    </w:p>
    <w:p w:rsidR="00880768" w:rsidRDefault="00880768" w:rsidP="00880768">
      <w:r>
        <w:lastRenderedPageBreak/>
        <w:t>Rystad Energy har på oppdrag fra Olje- og energidepartementet verdsatt Statens direkte økon</w:t>
      </w:r>
      <w:r>
        <w:t>o</w:t>
      </w:r>
      <w:r>
        <w:t>miske engasjement i petroleumsvirksomheten (SDØE) til 1 093 mrd. kroner per 1. januar 2018. Den forrige verdsettelsen av SDØE per 1. januar 2016, verdsatte porteføljen til 810 mrd. kroner. Reduserte kostnader, økt forventet gasspris og en betydelig oppjustering av forventet produksjon er faktorer som har bidratt til verdiøkningen. Kontantstrøm i perioden og økt verdi tilsvarer en årlig avkastning av SDØE-porteføljen på 24,8 prosent. Gjennomsnittlig årlig avkastning av SDØE-porteføljen i perioden 1. januar 2002 til 1. januar 2018 er 24,3 prosent.</w:t>
      </w:r>
    </w:p>
    <w:p w:rsidR="00532ECF" w:rsidRDefault="00532ECF" w:rsidP="0063539A">
      <w:pPr>
        <w:pStyle w:val="tabell-tittel"/>
      </w:pPr>
      <w:r>
        <w:rPr>
          <w:sz w:val="21"/>
          <w:szCs w:val="21"/>
        </w:rPr>
        <w:t xml:space="preserve">Nøkkeltall for SDØE </w:t>
      </w:r>
    </w:p>
    <w:p w:rsidR="00880768" w:rsidRDefault="00880768" w:rsidP="00880768">
      <w:pPr>
        <w:pStyle w:val="Tabellnavn"/>
      </w:pPr>
      <w:r>
        <w:t>04J1xt2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880768" w:rsidTr="00880768">
        <w:trPr>
          <w:trHeight w:val="360"/>
        </w:trPr>
        <w:tc>
          <w:tcPr>
            <w:tcW w:w="5320" w:type="dxa"/>
          </w:tcPr>
          <w:p w:rsidR="00880768" w:rsidRDefault="00880768" w:rsidP="00880768"/>
        </w:tc>
        <w:tc>
          <w:tcPr>
            <w:tcW w:w="1400" w:type="dxa"/>
          </w:tcPr>
          <w:p w:rsidR="00880768" w:rsidRDefault="00880768" w:rsidP="00880768">
            <w:r>
              <w:t>2015</w:t>
            </w:r>
          </w:p>
        </w:tc>
        <w:tc>
          <w:tcPr>
            <w:tcW w:w="1400" w:type="dxa"/>
          </w:tcPr>
          <w:p w:rsidR="00880768" w:rsidRDefault="00880768" w:rsidP="00880768">
            <w:r>
              <w:t>2016</w:t>
            </w:r>
          </w:p>
        </w:tc>
        <w:tc>
          <w:tcPr>
            <w:tcW w:w="1400" w:type="dxa"/>
          </w:tcPr>
          <w:p w:rsidR="00880768" w:rsidRDefault="00880768" w:rsidP="00880768">
            <w:r>
              <w:t>2017</w:t>
            </w:r>
          </w:p>
        </w:tc>
      </w:tr>
      <w:tr w:rsidR="00880768" w:rsidTr="00880768">
        <w:trPr>
          <w:trHeight w:val="380"/>
        </w:trPr>
        <w:tc>
          <w:tcPr>
            <w:tcW w:w="5320" w:type="dxa"/>
          </w:tcPr>
          <w:p w:rsidR="00880768" w:rsidRDefault="00880768" w:rsidP="00880768">
            <w:r>
              <w:t>Produksjon – olje og NGL (tusen fat/dag)</w:t>
            </w:r>
          </w:p>
        </w:tc>
        <w:tc>
          <w:tcPr>
            <w:tcW w:w="1400" w:type="dxa"/>
          </w:tcPr>
          <w:p w:rsidR="00880768" w:rsidRDefault="00880768" w:rsidP="00880768">
            <w:r>
              <w:t>411</w:t>
            </w:r>
          </w:p>
        </w:tc>
        <w:tc>
          <w:tcPr>
            <w:tcW w:w="1400" w:type="dxa"/>
          </w:tcPr>
          <w:p w:rsidR="00880768" w:rsidRDefault="00880768" w:rsidP="00880768">
            <w:r>
              <w:t>409</w:t>
            </w:r>
          </w:p>
        </w:tc>
        <w:tc>
          <w:tcPr>
            <w:tcW w:w="1400" w:type="dxa"/>
          </w:tcPr>
          <w:p w:rsidR="00880768" w:rsidRDefault="00880768" w:rsidP="00880768">
            <w:r>
              <w:t>398</w:t>
            </w:r>
          </w:p>
        </w:tc>
      </w:tr>
      <w:tr w:rsidR="00880768" w:rsidTr="00880768">
        <w:trPr>
          <w:trHeight w:val="380"/>
        </w:trPr>
        <w:tc>
          <w:tcPr>
            <w:tcW w:w="5320" w:type="dxa"/>
          </w:tcPr>
          <w:p w:rsidR="00880768" w:rsidRDefault="00880768" w:rsidP="00880768">
            <w:r>
              <w:t>Produksjon – tørrgass (mill. Sm</w:t>
            </w:r>
            <w:r>
              <w:rPr>
                <w:rStyle w:val="skrift-hevet"/>
                <w:sz w:val="21"/>
                <w:szCs w:val="21"/>
              </w:rPr>
              <w:t>3</w:t>
            </w:r>
            <w:r>
              <w:t>/dag)</w:t>
            </w:r>
          </w:p>
        </w:tc>
        <w:tc>
          <w:tcPr>
            <w:tcW w:w="1400" w:type="dxa"/>
          </w:tcPr>
          <w:p w:rsidR="00880768" w:rsidRDefault="00880768" w:rsidP="00880768">
            <w:r>
              <w:t>105</w:t>
            </w:r>
          </w:p>
        </w:tc>
        <w:tc>
          <w:tcPr>
            <w:tcW w:w="1400" w:type="dxa"/>
          </w:tcPr>
          <w:p w:rsidR="00880768" w:rsidRDefault="00880768" w:rsidP="00880768">
            <w:r>
              <w:t>100</w:t>
            </w:r>
          </w:p>
        </w:tc>
        <w:tc>
          <w:tcPr>
            <w:tcW w:w="1400" w:type="dxa"/>
          </w:tcPr>
          <w:p w:rsidR="00880768" w:rsidRDefault="00880768" w:rsidP="00880768">
            <w:r>
              <w:t>113</w:t>
            </w:r>
          </w:p>
        </w:tc>
      </w:tr>
      <w:tr w:rsidR="00880768" w:rsidTr="00880768">
        <w:trPr>
          <w:trHeight w:val="380"/>
        </w:trPr>
        <w:tc>
          <w:tcPr>
            <w:tcW w:w="5320" w:type="dxa"/>
          </w:tcPr>
          <w:p w:rsidR="00880768" w:rsidRDefault="00880768" w:rsidP="00880768">
            <w:r>
              <w:t>Olje- NGL og tørrgassproduksjon (tusen fat o.e./dag)</w:t>
            </w:r>
          </w:p>
        </w:tc>
        <w:tc>
          <w:tcPr>
            <w:tcW w:w="1400" w:type="dxa"/>
          </w:tcPr>
          <w:p w:rsidR="00880768" w:rsidRDefault="00880768" w:rsidP="00880768">
            <w:r>
              <w:t>1 068</w:t>
            </w:r>
          </w:p>
        </w:tc>
        <w:tc>
          <w:tcPr>
            <w:tcW w:w="1400" w:type="dxa"/>
          </w:tcPr>
          <w:p w:rsidR="00880768" w:rsidRDefault="00880768" w:rsidP="00880768">
            <w:r>
              <w:t>1 040</w:t>
            </w:r>
          </w:p>
        </w:tc>
        <w:tc>
          <w:tcPr>
            <w:tcW w:w="1400" w:type="dxa"/>
          </w:tcPr>
          <w:p w:rsidR="00880768" w:rsidRDefault="00880768" w:rsidP="00880768">
            <w:r>
              <w:t>1 110</w:t>
            </w:r>
          </w:p>
        </w:tc>
      </w:tr>
      <w:tr w:rsidR="00880768" w:rsidTr="00880768">
        <w:trPr>
          <w:trHeight w:val="380"/>
        </w:trPr>
        <w:tc>
          <w:tcPr>
            <w:tcW w:w="5320" w:type="dxa"/>
          </w:tcPr>
          <w:p w:rsidR="00880768" w:rsidRDefault="00880768" w:rsidP="00880768">
            <w:r>
              <w:t>Gjenværende reserver (mill. fat o.e.)</w:t>
            </w:r>
          </w:p>
        </w:tc>
        <w:tc>
          <w:tcPr>
            <w:tcW w:w="1400" w:type="dxa"/>
          </w:tcPr>
          <w:p w:rsidR="00880768" w:rsidRDefault="00880768" w:rsidP="00880768">
            <w:r>
              <w:t>6 276</w:t>
            </w:r>
          </w:p>
        </w:tc>
        <w:tc>
          <w:tcPr>
            <w:tcW w:w="1400" w:type="dxa"/>
          </w:tcPr>
          <w:p w:rsidR="00880768" w:rsidRDefault="00880768" w:rsidP="00880768">
            <w:r>
              <w:t>5 968</w:t>
            </w:r>
          </w:p>
        </w:tc>
        <w:tc>
          <w:tcPr>
            <w:tcW w:w="1400" w:type="dxa"/>
          </w:tcPr>
          <w:p w:rsidR="00880768" w:rsidRDefault="00880768" w:rsidP="00880768">
            <w:r>
              <w:t>5 879</w:t>
            </w:r>
            <w:r>
              <w:rPr>
                <w:rStyle w:val="skrift-hevet"/>
                <w:sz w:val="21"/>
                <w:szCs w:val="21"/>
              </w:rPr>
              <w:t>1</w:t>
            </w:r>
          </w:p>
        </w:tc>
      </w:tr>
      <w:tr w:rsidR="00880768" w:rsidTr="00880768">
        <w:trPr>
          <w:trHeight w:val="380"/>
        </w:trPr>
        <w:tc>
          <w:tcPr>
            <w:tcW w:w="5320" w:type="dxa"/>
          </w:tcPr>
          <w:p w:rsidR="00880768" w:rsidRDefault="00880768" w:rsidP="00880768">
            <w:r>
              <w:t>Reserveerstatningsgrad (årlig i prosent)</w:t>
            </w:r>
          </w:p>
        </w:tc>
        <w:tc>
          <w:tcPr>
            <w:tcW w:w="1400" w:type="dxa"/>
          </w:tcPr>
          <w:p w:rsidR="00880768" w:rsidRDefault="00880768" w:rsidP="00880768">
            <w:r>
              <w:t>133</w:t>
            </w:r>
          </w:p>
        </w:tc>
        <w:tc>
          <w:tcPr>
            <w:tcW w:w="1400" w:type="dxa"/>
          </w:tcPr>
          <w:p w:rsidR="00880768" w:rsidRDefault="00880768" w:rsidP="00880768">
            <w:r>
              <w:t>22</w:t>
            </w:r>
          </w:p>
        </w:tc>
        <w:tc>
          <w:tcPr>
            <w:tcW w:w="1400" w:type="dxa"/>
          </w:tcPr>
          <w:p w:rsidR="00880768" w:rsidRDefault="00880768" w:rsidP="00880768">
            <w:r>
              <w:t>78</w:t>
            </w:r>
          </w:p>
        </w:tc>
      </w:tr>
      <w:tr w:rsidR="00880768" w:rsidTr="00880768">
        <w:trPr>
          <w:trHeight w:val="380"/>
        </w:trPr>
        <w:tc>
          <w:tcPr>
            <w:tcW w:w="5320" w:type="dxa"/>
          </w:tcPr>
          <w:p w:rsidR="00880768" w:rsidRDefault="00880768" w:rsidP="00880768">
            <w:r>
              <w:t>Reservetilgang (mill. fat o.e.)</w:t>
            </w:r>
          </w:p>
        </w:tc>
        <w:tc>
          <w:tcPr>
            <w:tcW w:w="1400" w:type="dxa"/>
          </w:tcPr>
          <w:p w:rsidR="00880768" w:rsidRDefault="00880768" w:rsidP="00880768">
            <w:r>
              <w:t>520</w:t>
            </w:r>
          </w:p>
        </w:tc>
        <w:tc>
          <w:tcPr>
            <w:tcW w:w="1400" w:type="dxa"/>
          </w:tcPr>
          <w:p w:rsidR="00880768" w:rsidRDefault="00880768" w:rsidP="00880768">
            <w:r>
              <w:t>82</w:t>
            </w:r>
          </w:p>
        </w:tc>
        <w:tc>
          <w:tcPr>
            <w:tcW w:w="1400" w:type="dxa"/>
          </w:tcPr>
          <w:p w:rsidR="00880768" w:rsidRDefault="00880768" w:rsidP="00880768">
            <w:r>
              <w:t>316</w:t>
            </w:r>
          </w:p>
        </w:tc>
      </w:tr>
      <w:tr w:rsidR="00880768" w:rsidTr="00880768">
        <w:trPr>
          <w:trHeight w:val="380"/>
        </w:trPr>
        <w:tc>
          <w:tcPr>
            <w:tcW w:w="5320" w:type="dxa"/>
          </w:tcPr>
          <w:p w:rsidR="00880768" w:rsidRDefault="00880768" w:rsidP="00880768">
            <w:r>
              <w:t>Oljepris (USD/fat)</w:t>
            </w:r>
          </w:p>
        </w:tc>
        <w:tc>
          <w:tcPr>
            <w:tcW w:w="1400" w:type="dxa"/>
          </w:tcPr>
          <w:p w:rsidR="00880768" w:rsidRDefault="00880768" w:rsidP="00880768">
            <w:r>
              <w:t>53</w:t>
            </w:r>
          </w:p>
        </w:tc>
        <w:tc>
          <w:tcPr>
            <w:tcW w:w="1400" w:type="dxa"/>
          </w:tcPr>
          <w:p w:rsidR="00880768" w:rsidRDefault="00880768" w:rsidP="00880768">
            <w:r>
              <w:t>43</w:t>
            </w:r>
          </w:p>
        </w:tc>
        <w:tc>
          <w:tcPr>
            <w:tcW w:w="1400" w:type="dxa"/>
          </w:tcPr>
          <w:p w:rsidR="00880768" w:rsidRDefault="00880768" w:rsidP="00880768">
            <w:r>
              <w:t>54</w:t>
            </w:r>
          </w:p>
        </w:tc>
      </w:tr>
      <w:tr w:rsidR="00880768" w:rsidTr="00880768">
        <w:trPr>
          <w:trHeight w:val="380"/>
        </w:trPr>
        <w:tc>
          <w:tcPr>
            <w:tcW w:w="5320" w:type="dxa"/>
          </w:tcPr>
          <w:p w:rsidR="00880768" w:rsidRDefault="00880768" w:rsidP="00880768">
            <w:r>
              <w:t>Oljepris (NOK/fat)</w:t>
            </w:r>
          </w:p>
        </w:tc>
        <w:tc>
          <w:tcPr>
            <w:tcW w:w="1400" w:type="dxa"/>
          </w:tcPr>
          <w:p w:rsidR="00880768" w:rsidRDefault="00880768" w:rsidP="00880768">
            <w:r>
              <w:t>420</w:t>
            </w:r>
          </w:p>
        </w:tc>
        <w:tc>
          <w:tcPr>
            <w:tcW w:w="1400" w:type="dxa"/>
          </w:tcPr>
          <w:p w:rsidR="00880768" w:rsidRDefault="00880768" w:rsidP="00880768">
            <w:r>
              <w:t>361</w:t>
            </w:r>
          </w:p>
        </w:tc>
        <w:tc>
          <w:tcPr>
            <w:tcW w:w="1400" w:type="dxa"/>
          </w:tcPr>
          <w:p w:rsidR="00880768" w:rsidRDefault="00880768" w:rsidP="00880768">
            <w:r>
              <w:t>449</w:t>
            </w:r>
          </w:p>
        </w:tc>
      </w:tr>
      <w:tr w:rsidR="00880768" w:rsidTr="00880768">
        <w:trPr>
          <w:trHeight w:val="380"/>
        </w:trPr>
        <w:tc>
          <w:tcPr>
            <w:tcW w:w="5320" w:type="dxa"/>
          </w:tcPr>
          <w:p w:rsidR="00880768" w:rsidRDefault="00880768" w:rsidP="00880768">
            <w:r>
              <w:t>Gasspris (NOK/Sm</w:t>
            </w:r>
            <w:r>
              <w:rPr>
                <w:rStyle w:val="skrift-hevet"/>
                <w:sz w:val="21"/>
                <w:szCs w:val="21"/>
              </w:rPr>
              <w:t>3</w:t>
            </w:r>
            <w:r>
              <w:t>)</w:t>
            </w:r>
          </w:p>
        </w:tc>
        <w:tc>
          <w:tcPr>
            <w:tcW w:w="1400" w:type="dxa"/>
          </w:tcPr>
          <w:p w:rsidR="00880768" w:rsidRDefault="00880768" w:rsidP="00880768">
            <w:r>
              <w:t>2,14</w:t>
            </w:r>
          </w:p>
        </w:tc>
        <w:tc>
          <w:tcPr>
            <w:tcW w:w="1400" w:type="dxa"/>
          </w:tcPr>
          <w:p w:rsidR="00880768" w:rsidRDefault="00880768" w:rsidP="00880768">
            <w:r>
              <w:t>1,62</w:t>
            </w:r>
          </w:p>
        </w:tc>
        <w:tc>
          <w:tcPr>
            <w:tcW w:w="1400" w:type="dxa"/>
          </w:tcPr>
          <w:p w:rsidR="00880768" w:rsidRDefault="00880768" w:rsidP="00880768">
            <w:r>
              <w:t>1,72</w:t>
            </w:r>
          </w:p>
        </w:tc>
      </w:tr>
    </w:tbl>
    <w:p w:rsidR="00532ECF" w:rsidRDefault="00880768" w:rsidP="00532ECF">
      <w:pPr>
        <w:pStyle w:val="tabell-noter"/>
      </w:pPr>
      <w:r>
        <w:rPr>
          <w:rStyle w:val="skrift-hevet"/>
          <w:sz w:val="17"/>
          <w:szCs w:val="17"/>
        </w:rPr>
        <w:t>1</w:t>
      </w:r>
      <w:r>
        <w:tab/>
        <w:t>Porteføljen av olje-, kondensat-, NGL- og gassreserver fordeler seg med 1 615 mill. fat o.e. olje, NGL og kondensat og om lag 4 264 mill. fat o.e. gass (678 mrd. Sm</w:t>
      </w:r>
      <w:r>
        <w:rPr>
          <w:rStyle w:val="skrift-hevet"/>
          <w:sz w:val="17"/>
          <w:szCs w:val="17"/>
        </w:rPr>
        <w:t xml:space="preserve">3 </w:t>
      </w:r>
      <w:r>
        <w:t xml:space="preserve">gass). </w:t>
      </w:r>
    </w:p>
    <w:p w:rsidR="00532ECF" w:rsidRPr="00532ECF" w:rsidRDefault="00532ECF" w:rsidP="0063539A">
      <w:pPr>
        <w:pStyle w:val="tabell-tittel"/>
      </w:pPr>
      <w:r>
        <w:rPr>
          <w:sz w:val="21"/>
          <w:szCs w:val="21"/>
        </w:rPr>
        <w:t xml:space="preserve">SDØEs olje- og gassreserver </w:t>
      </w:r>
    </w:p>
    <w:p w:rsidR="00880768" w:rsidRDefault="00880768" w:rsidP="00880768">
      <w:pPr>
        <w:pStyle w:val="Tabellnavn"/>
      </w:pPr>
      <w:r>
        <w:t>03J1xt2</w:t>
      </w:r>
    </w:p>
    <w:tbl>
      <w:tblPr>
        <w:tblStyle w:val="StandardTabell"/>
        <w:tblW w:w="0" w:type="auto"/>
        <w:tblLayout w:type="fixed"/>
        <w:tblLook w:val="04A0" w:firstRow="1" w:lastRow="0" w:firstColumn="1" w:lastColumn="0" w:noHBand="0" w:noVBand="1"/>
      </w:tblPr>
      <w:tblGrid>
        <w:gridCol w:w="5080"/>
        <w:gridCol w:w="2520"/>
        <w:gridCol w:w="1940"/>
      </w:tblGrid>
      <w:tr w:rsidR="00880768" w:rsidTr="00880768">
        <w:trPr>
          <w:trHeight w:val="600"/>
        </w:trPr>
        <w:tc>
          <w:tcPr>
            <w:tcW w:w="5080" w:type="dxa"/>
          </w:tcPr>
          <w:p w:rsidR="00880768" w:rsidRDefault="00880768" w:rsidP="00880768">
            <w:r>
              <w:t>Forventede reserver</w:t>
            </w:r>
            <w:r>
              <w:rPr>
                <w:rStyle w:val="skrift-hevet"/>
                <w:sz w:val="19"/>
                <w:szCs w:val="19"/>
              </w:rPr>
              <w:t>1</w:t>
            </w:r>
          </w:p>
        </w:tc>
        <w:tc>
          <w:tcPr>
            <w:tcW w:w="2520" w:type="dxa"/>
          </w:tcPr>
          <w:p w:rsidR="00880768" w:rsidRDefault="00880768" w:rsidP="00880768">
            <w:r>
              <w:t xml:space="preserve">Olje, våtgass/NGL og </w:t>
            </w:r>
            <w:r>
              <w:rPr>
                <w:sz w:val="22"/>
              </w:rPr>
              <w:br/>
            </w:r>
            <w:r>
              <w:t>kondensat (mill. fat)</w:t>
            </w:r>
          </w:p>
        </w:tc>
        <w:tc>
          <w:tcPr>
            <w:tcW w:w="1940" w:type="dxa"/>
          </w:tcPr>
          <w:p w:rsidR="00880768" w:rsidRDefault="00880768" w:rsidP="00880768">
            <w:r>
              <w:t>Gass (mrd. Sm</w:t>
            </w:r>
            <w:r>
              <w:rPr>
                <w:rStyle w:val="skrift-hevet"/>
                <w:sz w:val="19"/>
                <w:szCs w:val="19"/>
              </w:rPr>
              <w:t>3</w:t>
            </w:r>
            <w:r>
              <w:t>)</w:t>
            </w:r>
            <w:r>
              <w:rPr>
                <w:rStyle w:val="skrift-hevet"/>
                <w:sz w:val="19"/>
                <w:szCs w:val="19"/>
              </w:rPr>
              <w:t>2</w:t>
            </w:r>
          </w:p>
        </w:tc>
      </w:tr>
      <w:tr w:rsidR="00880768" w:rsidTr="00880768">
        <w:trPr>
          <w:trHeight w:val="380"/>
        </w:trPr>
        <w:tc>
          <w:tcPr>
            <w:tcW w:w="5080" w:type="dxa"/>
          </w:tcPr>
          <w:p w:rsidR="00880768" w:rsidRDefault="00880768" w:rsidP="00880768">
            <w:r>
              <w:t>Ved inngangen til 2017</w:t>
            </w:r>
          </w:p>
        </w:tc>
        <w:tc>
          <w:tcPr>
            <w:tcW w:w="2520" w:type="dxa"/>
          </w:tcPr>
          <w:p w:rsidR="00880768" w:rsidRDefault="00880768" w:rsidP="00880768">
            <w:r>
              <w:t>1 489</w:t>
            </w:r>
          </w:p>
        </w:tc>
        <w:tc>
          <w:tcPr>
            <w:tcW w:w="1940" w:type="dxa"/>
          </w:tcPr>
          <w:p w:rsidR="00880768" w:rsidRDefault="00880768" w:rsidP="00880768">
            <w:r>
              <w:t>712</w:t>
            </w:r>
          </w:p>
        </w:tc>
      </w:tr>
      <w:tr w:rsidR="00880768" w:rsidTr="00880768">
        <w:trPr>
          <w:trHeight w:val="380"/>
        </w:trPr>
        <w:tc>
          <w:tcPr>
            <w:tcW w:w="5080" w:type="dxa"/>
          </w:tcPr>
          <w:p w:rsidR="00880768" w:rsidRDefault="00880768" w:rsidP="00880768">
            <w:r>
              <w:t xml:space="preserve">Endring anslag og korreksjon fra tidligere år </w:t>
            </w:r>
          </w:p>
        </w:tc>
        <w:tc>
          <w:tcPr>
            <w:tcW w:w="2520" w:type="dxa"/>
          </w:tcPr>
          <w:p w:rsidR="00880768" w:rsidRDefault="00880768" w:rsidP="00880768">
            <w:r>
              <w:t>30</w:t>
            </w:r>
          </w:p>
        </w:tc>
        <w:tc>
          <w:tcPr>
            <w:tcW w:w="1940" w:type="dxa"/>
          </w:tcPr>
          <w:p w:rsidR="00880768" w:rsidRDefault="00880768" w:rsidP="00880768">
            <w:r>
              <w:t>3</w:t>
            </w:r>
          </w:p>
        </w:tc>
      </w:tr>
      <w:tr w:rsidR="00880768" w:rsidTr="00880768">
        <w:trPr>
          <w:trHeight w:val="380"/>
        </w:trPr>
        <w:tc>
          <w:tcPr>
            <w:tcW w:w="5080" w:type="dxa"/>
          </w:tcPr>
          <w:p w:rsidR="00880768" w:rsidRDefault="00880768" w:rsidP="00880768">
            <w:r>
              <w:t>Utvidelser og funn</w:t>
            </w:r>
          </w:p>
        </w:tc>
        <w:tc>
          <w:tcPr>
            <w:tcW w:w="2520" w:type="dxa"/>
          </w:tcPr>
          <w:p w:rsidR="00880768" w:rsidRDefault="00880768" w:rsidP="00880768">
            <w:r>
              <w:t>112</w:t>
            </w:r>
          </w:p>
        </w:tc>
        <w:tc>
          <w:tcPr>
            <w:tcW w:w="1940" w:type="dxa"/>
          </w:tcPr>
          <w:p w:rsidR="00880768" w:rsidRDefault="00880768" w:rsidP="00880768">
            <w:r>
              <w:t>0</w:t>
            </w:r>
          </w:p>
        </w:tc>
      </w:tr>
      <w:tr w:rsidR="00880768" w:rsidTr="00880768">
        <w:trPr>
          <w:trHeight w:val="380"/>
        </w:trPr>
        <w:tc>
          <w:tcPr>
            <w:tcW w:w="5080" w:type="dxa"/>
          </w:tcPr>
          <w:p w:rsidR="00880768" w:rsidRDefault="00880768" w:rsidP="00880768">
            <w:r>
              <w:t>Forbedret utvinning</w:t>
            </w:r>
          </w:p>
        </w:tc>
        <w:tc>
          <w:tcPr>
            <w:tcW w:w="2520" w:type="dxa"/>
          </w:tcPr>
          <w:p w:rsidR="00880768" w:rsidRDefault="00880768" w:rsidP="00880768">
            <w:r>
              <w:t>129</w:t>
            </w:r>
          </w:p>
        </w:tc>
        <w:tc>
          <w:tcPr>
            <w:tcW w:w="1940" w:type="dxa"/>
          </w:tcPr>
          <w:p w:rsidR="00880768" w:rsidRDefault="00880768" w:rsidP="00880768">
            <w:r>
              <w:t>4</w:t>
            </w:r>
          </w:p>
        </w:tc>
      </w:tr>
      <w:tr w:rsidR="00880768" w:rsidTr="00880768">
        <w:trPr>
          <w:trHeight w:val="380"/>
        </w:trPr>
        <w:tc>
          <w:tcPr>
            <w:tcW w:w="5080" w:type="dxa"/>
          </w:tcPr>
          <w:p w:rsidR="00880768" w:rsidRDefault="00880768" w:rsidP="00880768">
            <w:r>
              <w:t>Produksjon</w:t>
            </w:r>
          </w:p>
        </w:tc>
        <w:tc>
          <w:tcPr>
            <w:tcW w:w="2520" w:type="dxa"/>
          </w:tcPr>
          <w:p w:rsidR="00880768" w:rsidRDefault="00880768" w:rsidP="00880768">
            <w:r>
              <w:t>-145</w:t>
            </w:r>
          </w:p>
        </w:tc>
        <w:tc>
          <w:tcPr>
            <w:tcW w:w="1940" w:type="dxa"/>
          </w:tcPr>
          <w:p w:rsidR="00880768" w:rsidRDefault="00880768" w:rsidP="00880768">
            <w:r>
              <w:t>-41</w:t>
            </w:r>
          </w:p>
        </w:tc>
      </w:tr>
      <w:tr w:rsidR="00880768" w:rsidTr="00880768">
        <w:trPr>
          <w:trHeight w:val="380"/>
        </w:trPr>
        <w:tc>
          <w:tcPr>
            <w:tcW w:w="5080" w:type="dxa"/>
          </w:tcPr>
          <w:p w:rsidR="00880768" w:rsidRDefault="00880768" w:rsidP="00880768">
            <w:r>
              <w:t>Ved utgangen av 2017</w:t>
            </w:r>
          </w:p>
        </w:tc>
        <w:tc>
          <w:tcPr>
            <w:tcW w:w="2520" w:type="dxa"/>
          </w:tcPr>
          <w:p w:rsidR="00880768" w:rsidRDefault="00880768" w:rsidP="00880768">
            <w:r>
              <w:t>1 615</w:t>
            </w:r>
          </w:p>
        </w:tc>
        <w:tc>
          <w:tcPr>
            <w:tcW w:w="1940" w:type="dxa"/>
          </w:tcPr>
          <w:p w:rsidR="00880768" w:rsidRDefault="00880768" w:rsidP="00880768">
            <w:r>
              <w:t>678</w:t>
            </w:r>
          </w:p>
        </w:tc>
      </w:tr>
    </w:tbl>
    <w:p w:rsidR="00880768" w:rsidRDefault="00880768" w:rsidP="00632734">
      <w:pPr>
        <w:pStyle w:val="tabell-noter"/>
        <w:rPr>
          <w:rStyle w:val="skrift-hevet"/>
          <w:sz w:val="24"/>
          <w:szCs w:val="24"/>
        </w:rPr>
      </w:pPr>
      <w:r>
        <w:rPr>
          <w:rStyle w:val="skrift-hevet"/>
          <w:sz w:val="17"/>
          <w:szCs w:val="17"/>
        </w:rPr>
        <w:t>1</w:t>
      </w:r>
      <w:r>
        <w:tab/>
        <w:t>Forventede reserver representerer forventningsverdier i henhold til ressursklasse 1-3 i Oljedirektoratets ressurskla</w:t>
      </w:r>
      <w:r>
        <w:t>s</w:t>
      </w:r>
      <w:r>
        <w:t>sifiseringssystem: Reserver i produksjon, reserver med godkjent plan for utbygging og drift og reserver som retti</w:t>
      </w:r>
      <w:r>
        <w:t>g</w:t>
      </w:r>
      <w:r>
        <w:t>hetshaverne har besluttet å utvinne.</w:t>
      </w:r>
    </w:p>
    <w:p w:rsidR="00532ECF" w:rsidRDefault="00880768" w:rsidP="00532ECF">
      <w:pPr>
        <w:pStyle w:val="tabell-noter"/>
      </w:pPr>
      <w:r>
        <w:rPr>
          <w:rStyle w:val="skrift-hevet"/>
          <w:sz w:val="17"/>
          <w:szCs w:val="17"/>
        </w:rPr>
        <w:t>2</w:t>
      </w:r>
      <w:r>
        <w:rPr>
          <w:rStyle w:val="skrift-hevet"/>
          <w:sz w:val="17"/>
          <w:szCs w:val="17"/>
        </w:rPr>
        <w:tab/>
      </w:r>
      <w:r>
        <w:t>1 000 Sm</w:t>
      </w:r>
      <w:r>
        <w:rPr>
          <w:rStyle w:val="skrift-hevet"/>
          <w:sz w:val="17"/>
          <w:szCs w:val="17"/>
        </w:rPr>
        <w:t>3</w:t>
      </w:r>
      <w:r>
        <w:t xml:space="preserve"> gass tilsvarer 6,29 fat oljeekvivalenter i energimengde, det vil si at 678 mrd. Sm</w:t>
      </w:r>
      <w:r>
        <w:rPr>
          <w:rStyle w:val="skrift-hevet"/>
          <w:sz w:val="17"/>
          <w:szCs w:val="17"/>
        </w:rPr>
        <w:t>3</w:t>
      </w:r>
      <w:r>
        <w:t xml:space="preserve"> tilsvarer 4 265 mill. fat o.e.</w:t>
      </w:r>
    </w:p>
    <w:p w:rsidR="00532ECF" w:rsidRPr="00532ECF" w:rsidRDefault="00532ECF" w:rsidP="0063539A">
      <w:pPr>
        <w:pStyle w:val="tabell-tittel"/>
      </w:pPr>
      <w:r>
        <w:rPr>
          <w:sz w:val="21"/>
          <w:szCs w:val="21"/>
        </w:rPr>
        <w:lastRenderedPageBreak/>
        <w:t>Kapitalbalanse (regnskapsprinsippet) for SDØE</w:t>
      </w:r>
    </w:p>
    <w:p w:rsidR="00880768" w:rsidRDefault="00E914E0" w:rsidP="00880768">
      <w:pPr>
        <w:pStyle w:val="Tabellnavn"/>
      </w:pPr>
      <w:r w:rsidRPr="00E914E0">
        <w:t>03J1xt2</w:t>
      </w:r>
    </w:p>
    <w:tbl>
      <w:tblPr>
        <w:tblStyle w:val="StandardTabell"/>
        <w:tblW w:w="0" w:type="auto"/>
        <w:tblLayout w:type="fixed"/>
        <w:tblLook w:val="04A0" w:firstRow="1" w:lastRow="0" w:firstColumn="1" w:lastColumn="0" w:noHBand="0" w:noVBand="1"/>
      </w:tblPr>
      <w:tblGrid>
        <w:gridCol w:w="5600"/>
        <w:gridCol w:w="1980"/>
        <w:gridCol w:w="1980"/>
      </w:tblGrid>
      <w:tr w:rsidR="00880768" w:rsidTr="00880768">
        <w:trPr>
          <w:trHeight w:val="360"/>
        </w:trPr>
        <w:tc>
          <w:tcPr>
            <w:tcW w:w="5600" w:type="dxa"/>
          </w:tcPr>
          <w:p w:rsidR="00880768" w:rsidRDefault="00880768" w:rsidP="00880768">
            <w:r>
              <w:t xml:space="preserve">Eiendeler </w:t>
            </w:r>
          </w:p>
        </w:tc>
        <w:tc>
          <w:tcPr>
            <w:tcW w:w="1980" w:type="dxa"/>
          </w:tcPr>
          <w:p w:rsidR="00880768" w:rsidRDefault="00880768" w:rsidP="00880768">
            <w:r>
              <w:t>2016</w:t>
            </w:r>
          </w:p>
        </w:tc>
        <w:tc>
          <w:tcPr>
            <w:tcW w:w="1980" w:type="dxa"/>
          </w:tcPr>
          <w:p w:rsidR="00880768" w:rsidRDefault="00880768" w:rsidP="00880768">
            <w:r>
              <w:t>2017</w:t>
            </w:r>
          </w:p>
        </w:tc>
      </w:tr>
      <w:tr w:rsidR="00880768" w:rsidTr="00880768">
        <w:trPr>
          <w:trHeight w:val="380"/>
        </w:trPr>
        <w:tc>
          <w:tcPr>
            <w:tcW w:w="5600" w:type="dxa"/>
          </w:tcPr>
          <w:p w:rsidR="00880768" w:rsidRDefault="00880768" w:rsidP="00880768">
            <w:r>
              <w:rPr>
                <w:rStyle w:val="kursiv"/>
                <w:sz w:val="21"/>
                <w:szCs w:val="21"/>
              </w:rPr>
              <w:t>Anleggsmidler:</w:t>
            </w:r>
          </w:p>
        </w:tc>
        <w:tc>
          <w:tcPr>
            <w:tcW w:w="1980" w:type="dxa"/>
          </w:tcPr>
          <w:p w:rsidR="00880768" w:rsidRDefault="00880768" w:rsidP="00880768"/>
        </w:tc>
        <w:tc>
          <w:tcPr>
            <w:tcW w:w="1980" w:type="dxa"/>
          </w:tcPr>
          <w:p w:rsidR="00880768" w:rsidRDefault="00880768" w:rsidP="00880768"/>
        </w:tc>
      </w:tr>
      <w:tr w:rsidR="00880768" w:rsidTr="00880768">
        <w:trPr>
          <w:trHeight w:val="380"/>
        </w:trPr>
        <w:tc>
          <w:tcPr>
            <w:tcW w:w="5600" w:type="dxa"/>
          </w:tcPr>
          <w:p w:rsidR="00880768" w:rsidRDefault="00880768" w:rsidP="00880768">
            <w:r>
              <w:t>Driftsmidler, eiendommer</w:t>
            </w:r>
          </w:p>
        </w:tc>
        <w:tc>
          <w:tcPr>
            <w:tcW w:w="1980" w:type="dxa"/>
          </w:tcPr>
          <w:p w:rsidR="00880768" w:rsidRDefault="00880768" w:rsidP="00880768">
            <w:r>
              <w:t>220 996 471 655</w:t>
            </w:r>
          </w:p>
        </w:tc>
        <w:tc>
          <w:tcPr>
            <w:tcW w:w="1980" w:type="dxa"/>
          </w:tcPr>
          <w:p w:rsidR="00880768" w:rsidRDefault="00880768" w:rsidP="00880768">
            <w:r>
              <w:t>224 160 863 556</w:t>
            </w:r>
          </w:p>
        </w:tc>
      </w:tr>
      <w:tr w:rsidR="00880768" w:rsidTr="00880768">
        <w:trPr>
          <w:trHeight w:val="380"/>
        </w:trPr>
        <w:tc>
          <w:tcPr>
            <w:tcW w:w="5600" w:type="dxa"/>
          </w:tcPr>
          <w:p w:rsidR="00880768" w:rsidRDefault="00880768" w:rsidP="00880768">
            <w:r>
              <w:t>Immaterielle eiendeler</w:t>
            </w:r>
          </w:p>
        </w:tc>
        <w:tc>
          <w:tcPr>
            <w:tcW w:w="1980" w:type="dxa"/>
          </w:tcPr>
          <w:p w:rsidR="00880768" w:rsidRDefault="00880768" w:rsidP="00880768">
            <w:r>
              <w:t>72 115 458</w:t>
            </w:r>
          </w:p>
        </w:tc>
        <w:tc>
          <w:tcPr>
            <w:tcW w:w="1980" w:type="dxa"/>
          </w:tcPr>
          <w:p w:rsidR="00880768" w:rsidRDefault="00880768" w:rsidP="00880768">
            <w:r>
              <w:t>68 152 010</w:t>
            </w:r>
          </w:p>
        </w:tc>
      </w:tr>
      <w:tr w:rsidR="00880768" w:rsidTr="00880768">
        <w:trPr>
          <w:trHeight w:val="380"/>
        </w:trPr>
        <w:tc>
          <w:tcPr>
            <w:tcW w:w="5600" w:type="dxa"/>
          </w:tcPr>
          <w:p w:rsidR="00880768" w:rsidRDefault="00880768" w:rsidP="00880768">
            <w:r>
              <w:t>Finansielle anleggsmidler</w:t>
            </w:r>
          </w:p>
        </w:tc>
        <w:tc>
          <w:tcPr>
            <w:tcW w:w="1980" w:type="dxa"/>
          </w:tcPr>
          <w:p w:rsidR="00880768" w:rsidRDefault="00880768" w:rsidP="00880768">
            <w:r>
              <w:t>361 665 413</w:t>
            </w:r>
          </w:p>
        </w:tc>
        <w:tc>
          <w:tcPr>
            <w:tcW w:w="1980" w:type="dxa"/>
          </w:tcPr>
          <w:p w:rsidR="00880768" w:rsidRDefault="00880768" w:rsidP="00880768">
            <w:r>
              <w:t>238 314 032</w:t>
            </w:r>
          </w:p>
        </w:tc>
      </w:tr>
      <w:tr w:rsidR="00880768" w:rsidTr="00880768">
        <w:trPr>
          <w:trHeight w:val="380"/>
        </w:trPr>
        <w:tc>
          <w:tcPr>
            <w:tcW w:w="5600" w:type="dxa"/>
          </w:tcPr>
          <w:p w:rsidR="00880768" w:rsidRDefault="00880768" w:rsidP="00880768">
            <w:r>
              <w:t>Sum anleggsmidler</w:t>
            </w:r>
          </w:p>
        </w:tc>
        <w:tc>
          <w:tcPr>
            <w:tcW w:w="1980" w:type="dxa"/>
          </w:tcPr>
          <w:p w:rsidR="00880768" w:rsidRDefault="00880768" w:rsidP="00880768">
            <w:r>
              <w:t>221 430 242 526</w:t>
            </w:r>
          </w:p>
        </w:tc>
        <w:tc>
          <w:tcPr>
            <w:tcW w:w="1980" w:type="dxa"/>
          </w:tcPr>
          <w:p w:rsidR="00880768" w:rsidRDefault="00880768" w:rsidP="00880768">
            <w:r>
              <w:t>224 467 329 598</w:t>
            </w:r>
          </w:p>
        </w:tc>
      </w:tr>
      <w:tr w:rsidR="00880768" w:rsidTr="00880768">
        <w:trPr>
          <w:trHeight w:val="380"/>
        </w:trPr>
        <w:tc>
          <w:tcPr>
            <w:tcW w:w="5600" w:type="dxa"/>
          </w:tcPr>
          <w:p w:rsidR="00880768" w:rsidRDefault="00880768" w:rsidP="00880768">
            <w:r>
              <w:t xml:space="preserve"> </w:t>
            </w:r>
          </w:p>
        </w:tc>
        <w:tc>
          <w:tcPr>
            <w:tcW w:w="1980" w:type="dxa"/>
          </w:tcPr>
          <w:p w:rsidR="00880768" w:rsidRDefault="00880768" w:rsidP="00880768"/>
        </w:tc>
        <w:tc>
          <w:tcPr>
            <w:tcW w:w="1980" w:type="dxa"/>
          </w:tcPr>
          <w:p w:rsidR="00880768" w:rsidRDefault="00880768" w:rsidP="00880768"/>
        </w:tc>
      </w:tr>
      <w:tr w:rsidR="00880768" w:rsidTr="00880768">
        <w:trPr>
          <w:trHeight w:val="380"/>
        </w:trPr>
        <w:tc>
          <w:tcPr>
            <w:tcW w:w="5600" w:type="dxa"/>
          </w:tcPr>
          <w:p w:rsidR="00880768" w:rsidRDefault="00880768" w:rsidP="00880768">
            <w:r>
              <w:rPr>
                <w:rStyle w:val="kursiv"/>
                <w:sz w:val="21"/>
                <w:szCs w:val="21"/>
              </w:rPr>
              <w:t>Omløpsmidler:</w:t>
            </w:r>
          </w:p>
        </w:tc>
        <w:tc>
          <w:tcPr>
            <w:tcW w:w="1980" w:type="dxa"/>
          </w:tcPr>
          <w:p w:rsidR="00880768" w:rsidRDefault="00880768" w:rsidP="00880768"/>
        </w:tc>
        <w:tc>
          <w:tcPr>
            <w:tcW w:w="1980" w:type="dxa"/>
          </w:tcPr>
          <w:p w:rsidR="00880768" w:rsidRDefault="00880768" w:rsidP="00880768"/>
        </w:tc>
      </w:tr>
      <w:tr w:rsidR="00880768" w:rsidTr="00880768">
        <w:trPr>
          <w:trHeight w:val="380"/>
        </w:trPr>
        <w:tc>
          <w:tcPr>
            <w:tcW w:w="5600" w:type="dxa"/>
          </w:tcPr>
          <w:p w:rsidR="00880768" w:rsidRDefault="00880768" w:rsidP="00880768">
            <w:r>
              <w:t>Lager</w:t>
            </w:r>
          </w:p>
        </w:tc>
        <w:tc>
          <w:tcPr>
            <w:tcW w:w="1980" w:type="dxa"/>
          </w:tcPr>
          <w:p w:rsidR="00880768" w:rsidRDefault="00880768" w:rsidP="00880768">
            <w:r>
              <w:t>2 737 334 857</w:t>
            </w:r>
          </w:p>
        </w:tc>
        <w:tc>
          <w:tcPr>
            <w:tcW w:w="1980" w:type="dxa"/>
          </w:tcPr>
          <w:p w:rsidR="00880768" w:rsidRDefault="00880768" w:rsidP="00880768">
            <w:r>
              <w:t>2 533 818 598</w:t>
            </w:r>
          </w:p>
        </w:tc>
      </w:tr>
      <w:tr w:rsidR="00880768" w:rsidTr="00880768">
        <w:trPr>
          <w:trHeight w:val="380"/>
        </w:trPr>
        <w:tc>
          <w:tcPr>
            <w:tcW w:w="5600" w:type="dxa"/>
          </w:tcPr>
          <w:p w:rsidR="00880768" w:rsidRDefault="00880768" w:rsidP="00880768">
            <w:r>
              <w:t>Kundefordringer</w:t>
            </w:r>
          </w:p>
        </w:tc>
        <w:tc>
          <w:tcPr>
            <w:tcW w:w="1980" w:type="dxa"/>
          </w:tcPr>
          <w:p w:rsidR="00880768" w:rsidRDefault="00880768" w:rsidP="00880768">
            <w:r>
              <w:t>16 839 449 913</w:t>
            </w:r>
          </w:p>
        </w:tc>
        <w:tc>
          <w:tcPr>
            <w:tcW w:w="1980" w:type="dxa"/>
          </w:tcPr>
          <w:p w:rsidR="00880768" w:rsidRDefault="00880768" w:rsidP="00880768">
            <w:r>
              <w:t>20 248 659 310</w:t>
            </w:r>
          </w:p>
        </w:tc>
      </w:tr>
      <w:tr w:rsidR="00880768" w:rsidTr="00880768">
        <w:trPr>
          <w:trHeight w:val="380"/>
        </w:trPr>
        <w:tc>
          <w:tcPr>
            <w:tcW w:w="5600" w:type="dxa"/>
          </w:tcPr>
          <w:p w:rsidR="00880768" w:rsidRDefault="00880768" w:rsidP="00880768">
            <w:r>
              <w:t>Bankinnskudd</w:t>
            </w:r>
          </w:p>
        </w:tc>
        <w:tc>
          <w:tcPr>
            <w:tcW w:w="1980" w:type="dxa"/>
          </w:tcPr>
          <w:p w:rsidR="00880768" w:rsidRDefault="00880768" w:rsidP="00880768">
            <w:r>
              <w:t>149 387 772</w:t>
            </w:r>
          </w:p>
        </w:tc>
        <w:tc>
          <w:tcPr>
            <w:tcW w:w="1980" w:type="dxa"/>
          </w:tcPr>
          <w:p w:rsidR="00880768" w:rsidRDefault="00880768" w:rsidP="00880768">
            <w:r>
              <w:t>175 839 599</w:t>
            </w:r>
          </w:p>
        </w:tc>
      </w:tr>
      <w:tr w:rsidR="00880768" w:rsidTr="00880768">
        <w:trPr>
          <w:trHeight w:val="380"/>
        </w:trPr>
        <w:tc>
          <w:tcPr>
            <w:tcW w:w="5600" w:type="dxa"/>
          </w:tcPr>
          <w:p w:rsidR="00880768" w:rsidRDefault="00880768" w:rsidP="00880768">
            <w:r>
              <w:t>Sum omløpsmidler</w:t>
            </w:r>
          </w:p>
        </w:tc>
        <w:tc>
          <w:tcPr>
            <w:tcW w:w="1980" w:type="dxa"/>
          </w:tcPr>
          <w:p w:rsidR="00880768" w:rsidRDefault="00880768" w:rsidP="00880768">
            <w:r>
              <w:t>19 726 172 542</w:t>
            </w:r>
          </w:p>
        </w:tc>
        <w:tc>
          <w:tcPr>
            <w:tcW w:w="1980" w:type="dxa"/>
          </w:tcPr>
          <w:p w:rsidR="00880768" w:rsidRDefault="00880768" w:rsidP="00880768">
            <w:r>
              <w:t>22 958 317 507</w:t>
            </w:r>
          </w:p>
        </w:tc>
      </w:tr>
      <w:tr w:rsidR="00880768" w:rsidTr="00880768">
        <w:trPr>
          <w:trHeight w:val="380"/>
        </w:trPr>
        <w:tc>
          <w:tcPr>
            <w:tcW w:w="5600" w:type="dxa"/>
          </w:tcPr>
          <w:p w:rsidR="00880768" w:rsidRDefault="00880768" w:rsidP="00880768">
            <w:r>
              <w:t>Sum eiendeler</w:t>
            </w:r>
          </w:p>
        </w:tc>
        <w:tc>
          <w:tcPr>
            <w:tcW w:w="1980" w:type="dxa"/>
          </w:tcPr>
          <w:p w:rsidR="00880768" w:rsidRDefault="00880768" w:rsidP="00880768">
            <w:r>
              <w:t>241 156 415 068</w:t>
            </w:r>
          </w:p>
        </w:tc>
        <w:tc>
          <w:tcPr>
            <w:tcW w:w="1980" w:type="dxa"/>
          </w:tcPr>
          <w:p w:rsidR="00880768" w:rsidRDefault="00880768" w:rsidP="00880768">
            <w:r>
              <w:t>247 425 647 105</w:t>
            </w:r>
          </w:p>
        </w:tc>
      </w:tr>
      <w:tr w:rsidR="00880768" w:rsidTr="00880768">
        <w:trPr>
          <w:trHeight w:val="380"/>
        </w:trPr>
        <w:tc>
          <w:tcPr>
            <w:tcW w:w="5600" w:type="dxa"/>
          </w:tcPr>
          <w:p w:rsidR="00880768" w:rsidRDefault="00880768" w:rsidP="00880768"/>
        </w:tc>
        <w:tc>
          <w:tcPr>
            <w:tcW w:w="1980" w:type="dxa"/>
          </w:tcPr>
          <w:p w:rsidR="00880768" w:rsidRDefault="00880768" w:rsidP="00880768"/>
        </w:tc>
        <w:tc>
          <w:tcPr>
            <w:tcW w:w="1980" w:type="dxa"/>
          </w:tcPr>
          <w:p w:rsidR="00880768" w:rsidRDefault="00880768" w:rsidP="00880768"/>
        </w:tc>
      </w:tr>
      <w:tr w:rsidR="00880768" w:rsidTr="00880768">
        <w:trPr>
          <w:trHeight w:val="360"/>
        </w:trPr>
        <w:tc>
          <w:tcPr>
            <w:tcW w:w="5600" w:type="dxa"/>
          </w:tcPr>
          <w:p w:rsidR="00880768" w:rsidRDefault="00880768" w:rsidP="00880768">
            <w:r>
              <w:t>Egenkapital og gjeld</w:t>
            </w:r>
          </w:p>
        </w:tc>
        <w:tc>
          <w:tcPr>
            <w:tcW w:w="1980" w:type="dxa"/>
          </w:tcPr>
          <w:p w:rsidR="00880768" w:rsidRDefault="00880768" w:rsidP="00880768">
            <w:r>
              <w:t>2016</w:t>
            </w:r>
          </w:p>
        </w:tc>
        <w:tc>
          <w:tcPr>
            <w:tcW w:w="1980" w:type="dxa"/>
          </w:tcPr>
          <w:p w:rsidR="00880768" w:rsidRDefault="00880768" w:rsidP="00880768">
            <w:r>
              <w:t>2017</w:t>
            </w:r>
          </w:p>
        </w:tc>
      </w:tr>
      <w:tr w:rsidR="00880768" w:rsidTr="00880768">
        <w:trPr>
          <w:trHeight w:val="380"/>
        </w:trPr>
        <w:tc>
          <w:tcPr>
            <w:tcW w:w="5600" w:type="dxa"/>
          </w:tcPr>
          <w:p w:rsidR="00880768" w:rsidRDefault="00880768" w:rsidP="00880768">
            <w:r>
              <w:rPr>
                <w:rStyle w:val="kursiv"/>
                <w:sz w:val="21"/>
                <w:szCs w:val="21"/>
              </w:rPr>
              <w:t>Egenkapital:</w:t>
            </w:r>
          </w:p>
        </w:tc>
        <w:tc>
          <w:tcPr>
            <w:tcW w:w="1980" w:type="dxa"/>
          </w:tcPr>
          <w:p w:rsidR="00880768" w:rsidRDefault="00880768" w:rsidP="00880768">
            <w:r>
              <w:t xml:space="preserve"> </w:t>
            </w:r>
          </w:p>
        </w:tc>
        <w:tc>
          <w:tcPr>
            <w:tcW w:w="1980" w:type="dxa"/>
          </w:tcPr>
          <w:p w:rsidR="00880768" w:rsidRDefault="00880768" w:rsidP="00880768">
            <w:r>
              <w:t xml:space="preserve"> </w:t>
            </w:r>
          </w:p>
        </w:tc>
      </w:tr>
      <w:tr w:rsidR="00880768" w:rsidTr="00880768">
        <w:trPr>
          <w:trHeight w:val="380"/>
        </w:trPr>
        <w:tc>
          <w:tcPr>
            <w:tcW w:w="5600" w:type="dxa"/>
          </w:tcPr>
          <w:p w:rsidR="00880768" w:rsidRDefault="00880768" w:rsidP="00880768">
            <w:r>
              <w:t>Egenkapital</w:t>
            </w:r>
          </w:p>
        </w:tc>
        <w:tc>
          <w:tcPr>
            <w:tcW w:w="1980" w:type="dxa"/>
          </w:tcPr>
          <w:p w:rsidR="00880768" w:rsidRDefault="00880768" w:rsidP="00880768">
            <w:r>
              <w:t>153 053 145 458</w:t>
            </w:r>
          </w:p>
        </w:tc>
        <w:tc>
          <w:tcPr>
            <w:tcW w:w="1980" w:type="dxa"/>
          </w:tcPr>
          <w:p w:rsidR="00880768" w:rsidRDefault="00880768" w:rsidP="00880768">
            <w:r>
              <w:t>168 063 221 520</w:t>
            </w:r>
          </w:p>
        </w:tc>
      </w:tr>
      <w:tr w:rsidR="00880768" w:rsidTr="00880768">
        <w:trPr>
          <w:trHeight w:val="380"/>
        </w:trPr>
        <w:tc>
          <w:tcPr>
            <w:tcW w:w="5600" w:type="dxa"/>
          </w:tcPr>
          <w:p w:rsidR="00880768" w:rsidRDefault="00880768" w:rsidP="00880768">
            <w:r>
              <w:t>Sum egenkapital</w:t>
            </w:r>
          </w:p>
        </w:tc>
        <w:tc>
          <w:tcPr>
            <w:tcW w:w="1980" w:type="dxa"/>
          </w:tcPr>
          <w:p w:rsidR="00880768" w:rsidRDefault="00880768" w:rsidP="00880768">
            <w:r>
              <w:t>153 053 145 458</w:t>
            </w:r>
          </w:p>
        </w:tc>
        <w:tc>
          <w:tcPr>
            <w:tcW w:w="1980" w:type="dxa"/>
          </w:tcPr>
          <w:p w:rsidR="00880768" w:rsidRDefault="00880768" w:rsidP="00880768">
            <w:r>
              <w:t>168 063 221 520</w:t>
            </w:r>
          </w:p>
        </w:tc>
      </w:tr>
      <w:tr w:rsidR="00880768" w:rsidTr="00880768">
        <w:trPr>
          <w:trHeight w:val="380"/>
        </w:trPr>
        <w:tc>
          <w:tcPr>
            <w:tcW w:w="5600" w:type="dxa"/>
          </w:tcPr>
          <w:p w:rsidR="00880768" w:rsidRDefault="00880768" w:rsidP="00880768">
            <w:r>
              <w:t xml:space="preserve"> </w:t>
            </w:r>
          </w:p>
        </w:tc>
        <w:tc>
          <w:tcPr>
            <w:tcW w:w="1980" w:type="dxa"/>
          </w:tcPr>
          <w:p w:rsidR="00880768" w:rsidRDefault="00880768" w:rsidP="00880768"/>
        </w:tc>
        <w:tc>
          <w:tcPr>
            <w:tcW w:w="1980" w:type="dxa"/>
          </w:tcPr>
          <w:p w:rsidR="00880768" w:rsidRDefault="00880768" w:rsidP="00880768"/>
        </w:tc>
      </w:tr>
      <w:tr w:rsidR="00880768" w:rsidTr="00880768">
        <w:trPr>
          <w:trHeight w:val="380"/>
        </w:trPr>
        <w:tc>
          <w:tcPr>
            <w:tcW w:w="9560" w:type="dxa"/>
            <w:gridSpan w:val="3"/>
          </w:tcPr>
          <w:p w:rsidR="00880768" w:rsidRDefault="00880768" w:rsidP="00880768">
            <w:r>
              <w:rPr>
                <w:rStyle w:val="kursiv"/>
                <w:sz w:val="21"/>
                <w:szCs w:val="21"/>
              </w:rPr>
              <w:t>Langsiktig gjeld:</w:t>
            </w:r>
          </w:p>
        </w:tc>
      </w:tr>
      <w:tr w:rsidR="00880768" w:rsidTr="00880768">
        <w:trPr>
          <w:trHeight w:val="380"/>
        </w:trPr>
        <w:tc>
          <w:tcPr>
            <w:tcW w:w="5600" w:type="dxa"/>
          </w:tcPr>
          <w:p w:rsidR="00880768" w:rsidRDefault="00880768" w:rsidP="00880768">
            <w:r>
              <w:t>Langsiktige fjerningsforpliktelser</w:t>
            </w:r>
          </w:p>
        </w:tc>
        <w:tc>
          <w:tcPr>
            <w:tcW w:w="1980" w:type="dxa"/>
          </w:tcPr>
          <w:p w:rsidR="00880768" w:rsidRDefault="00880768" w:rsidP="00880768">
            <w:r>
              <w:t>67 545 758 899</w:t>
            </w:r>
          </w:p>
        </w:tc>
        <w:tc>
          <w:tcPr>
            <w:tcW w:w="1980" w:type="dxa"/>
          </w:tcPr>
          <w:p w:rsidR="00880768" w:rsidRDefault="00880768" w:rsidP="00880768">
            <w:r>
              <w:t>67 647 044 073</w:t>
            </w:r>
          </w:p>
        </w:tc>
      </w:tr>
      <w:tr w:rsidR="00880768" w:rsidTr="00880768">
        <w:trPr>
          <w:trHeight w:val="380"/>
        </w:trPr>
        <w:tc>
          <w:tcPr>
            <w:tcW w:w="5600" w:type="dxa"/>
          </w:tcPr>
          <w:p w:rsidR="00880768" w:rsidRDefault="00880768" w:rsidP="00880768">
            <w:r>
              <w:t>Annen langsiktig gjeld</w:t>
            </w:r>
          </w:p>
        </w:tc>
        <w:tc>
          <w:tcPr>
            <w:tcW w:w="1980" w:type="dxa"/>
          </w:tcPr>
          <w:p w:rsidR="00880768" w:rsidRDefault="00880768" w:rsidP="00880768">
            <w:r>
              <w:t>7 268 276 221</w:t>
            </w:r>
          </w:p>
        </w:tc>
        <w:tc>
          <w:tcPr>
            <w:tcW w:w="1980" w:type="dxa"/>
          </w:tcPr>
          <w:p w:rsidR="00880768" w:rsidRDefault="00880768" w:rsidP="00880768">
            <w:r>
              <w:t>3 628 683 429</w:t>
            </w:r>
          </w:p>
        </w:tc>
      </w:tr>
      <w:tr w:rsidR="00880768" w:rsidTr="00880768">
        <w:trPr>
          <w:trHeight w:val="380"/>
        </w:trPr>
        <w:tc>
          <w:tcPr>
            <w:tcW w:w="5600" w:type="dxa"/>
          </w:tcPr>
          <w:p w:rsidR="00880768" w:rsidRDefault="00880768" w:rsidP="00880768">
            <w:r>
              <w:t>Sum langsiktig gjeld</w:t>
            </w:r>
          </w:p>
        </w:tc>
        <w:tc>
          <w:tcPr>
            <w:tcW w:w="1980" w:type="dxa"/>
          </w:tcPr>
          <w:p w:rsidR="00880768" w:rsidRDefault="00880768" w:rsidP="00880768">
            <w:r>
              <w:t>74 814 035 120</w:t>
            </w:r>
          </w:p>
        </w:tc>
        <w:tc>
          <w:tcPr>
            <w:tcW w:w="1980" w:type="dxa"/>
          </w:tcPr>
          <w:p w:rsidR="00880768" w:rsidRDefault="00880768" w:rsidP="00880768">
            <w:r>
              <w:t>71 275 727 502</w:t>
            </w:r>
          </w:p>
        </w:tc>
      </w:tr>
      <w:tr w:rsidR="00880768" w:rsidTr="00880768">
        <w:trPr>
          <w:trHeight w:val="380"/>
        </w:trPr>
        <w:tc>
          <w:tcPr>
            <w:tcW w:w="5600" w:type="dxa"/>
          </w:tcPr>
          <w:p w:rsidR="00880768" w:rsidRDefault="00880768" w:rsidP="00880768"/>
        </w:tc>
        <w:tc>
          <w:tcPr>
            <w:tcW w:w="1980" w:type="dxa"/>
          </w:tcPr>
          <w:p w:rsidR="00880768" w:rsidRDefault="00880768" w:rsidP="00880768"/>
        </w:tc>
        <w:tc>
          <w:tcPr>
            <w:tcW w:w="1980" w:type="dxa"/>
          </w:tcPr>
          <w:p w:rsidR="00880768" w:rsidRDefault="00880768" w:rsidP="00880768"/>
        </w:tc>
      </w:tr>
      <w:tr w:rsidR="00880768" w:rsidTr="00880768">
        <w:trPr>
          <w:trHeight w:val="380"/>
        </w:trPr>
        <w:tc>
          <w:tcPr>
            <w:tcW w:w="9560" w:type="dxa"/>
            <w:gridSpan w:val="3"/>
          </w:tcPr>
          <w:p w:rsidR="00880768" w:rsidRDefault="00880768" w:rsidP="00880768">
            <w:r>
              <w:rPr>
                <w:rStyle w:val="kursiv"/>
                <w:sz w:val="21"/>
                <w:szCs w:val="21"/>
              </w:rPr>
              <w:t>Kortsiktig gjeld:</w:t>
            </w:r>
          </w:p>
        </w:tc>
      </w:tr>
      <w:tr w:rsidR="00880768" w:rsidTr="00880768">
        <w:trPr>
          <w:trHeight w:val="380"/>
        </w:trPr>
        <w:tc>
          <w:tcPr>
            <w:tcW w:w="5600" w:type="dxa"/>
          </w:tcPr>
          <w:p w:rsidR="00880768" w:rsidRDefault="00880768" w:rsidP="00880768">
            <w:r>
              <w:t>Leverandørgjeld</w:t>
            </w:r>
          </w:p>
        </w:tc>
        <w:tc>
          <w:tcPr>
            <w:tcW w:w="1980" w:type="dxa"/>
          </w:tcPr>
          <w:p w:rsidR="00880768" w:rsidRDefault="00880768" w:rsidP="00880768">
            <w:r>
              <w:t>2 411 148 133</w:t>
            </w:r>
          </w:p>
        </w:tc>
        <w:tc>
          <w:tcPr>
            <w:tcW w:w="1980" w:type="dxa"/>
          </w:tcPr>
          <w:p w:rsidR="00880768" w:rsidRDefault="00880768" w:rsidP="00880768">
            <w:r>
              <w:t>1 986 529 159</w:t>
            </w:r>
          </w:p>
        </w:tc>
      </w:tr>
      <w:tr w:rsidR="00880768" w:rsidTr="00880768">
        <w:trPr>
          <w:trHeight w:val="380"/>
        </w:trPr>
        <w:tc>
          <w:tcPr>
            <w:tcW w:w="5600" w:type="dxa"/>
          </w:tcPr>
          <w:p w:rsidR="00880768" w:rsidRDefault="00880768" w:rsidP="00880768">
            <w:r>
              <w:t>Annen kortsiktig gjeld</w:t>
            </w:r>
          </w:p>
        </w:tc>
        <w:tc>
          <w:tcPr>
            <w:tcW w:w="1980" w:type="dxa"/>
          </w:tcPr>
          <w:p w:rsidR="00880768" w:rsidRDefault="00880768" w:rsidP="00880768">
            <w:r>
              <w:t>10 878 086 357</w:t>
            </w:r>
          </w:p>
        </w:tc>
        <w:tc>
          <w:tcPr>
            <w:tcW w:w="1980" w:type="dxa"/>
          </w:tcPr>
          <w:p w:rsidR="00880768" w:rsidRDefault="00880768" w:rsidP="00880768">
            <w:r>
              <w:t>6 100 168 923</w:t>
            </w:r>
          </w:p>
        </w:tc>
      </w:tr>
      <w:tr w:rsidR="00880768" w:rsidTr="00880768">
        <w:trPr>
          <w:trHeight w:val="380"/>
        </w:trPr>
        <w:tc>
          <w:tcPr>
            <w:tcW w:w="5600" w:type="dxa"/>
          </w:tcPr>
          <w:p w:rsidR="00880768" w:rsidRDefault="00880768" w:rsidP="00880768">
            <w:r>
              <w:t xml:space="preserve">Sum kortsiktig gjeld </w:t>
            </w:r>
          </w:p>
        </w:tc>
        <w:tc>
          <w:tcPr>
            <w:tcW w:w="1980" w:type="dxa"/>
          </w:tcPr>
          <w:p w:rsidR="00880768" w:rsidRDefault="00880768" w:rsidP="00880768">
            <w:r>
              <w:t>13 289 234 490</w:t>
            </w:r>
          </w:p>
        </w:tc>
        <w:tc>
          <w:tcPr>
            <w:tcW w:w="1980" w:type="dxa"/>
          </w:tcPr>
          <w:p w:rsidR="00880768" w:rsidRDefault="00880768" w:rsidP="00880768">
            <w:r>
              <w:t>8 086 698 082</w:t>
            </w:r>
          </w:p>
        </w:tc>
      </w:tr>
      <w:tr w:rsidR="00880768" w:rsidTr="00880768">
        <w:trPr>
          <w:trHeight w:val="380"/>
        </w:trPr>
        <w:tc>
          <w:tcPr>
            <w:tcW w:w="5600" w:type="dxa"/>
          </w:tcPr>
          <w:p w:rsidR="00880768" w:rsidRDefault="00880768" w:rsidP="00880768">
            <w:r>
              <w:t>Sum egenkapital og gjeld</w:t>
            </w:r>
          </w:p>
        </w:tc>
        <w:tc>
          <w:tcPr>
            <w:tcW w:w="1980" w:type="dxa"/>
          </w:tcPr>
          <w:p w:rsidR="00880768" w:rsidRDefault="00880768" w:rsidP="00880768">
            <w:r>
              <w:t>241 156 415 068</w:t>
            </w:r>
          </w:p>
        </w:tc>
        <w:tc>
          <w:tcPr>
            <w:tcW w:w="1980" w:type="dxa"/>
          </w:tcPr>
          <w:p w:rsidR="00880768" w:rsidRDefault="00880768" w:rsidP="00880768">
            <w:r>
              <w:t>247 425 647 105</w:t>
            </w:r>
          </w:p>
        </w:tc>
      </w:tr>
    </w:tbl>
    <w:p w:rsidR="00880768" w:rsidRDefault="00880768" w:rsidP="00B52901">
      <w:pPr>
        <w:pStyle w:val="b-post"/>
      </w:pPr>
      <w:r>
        <w:lastRenderedPageBreak/>
        <w:t>Kap. 2440/5440 Statens direkte økonomiske engasjement i petroleumsvirksomheten</w:t>
      </w:r>
    </w:p>
    <w:p w:rsidR="00532ECF" w:rsidRPr="00532ECF" w:rsidRDefault="00532ECF" w:rsidP="0063539A">
      <w:pPr>
        <w:pStyle w:val="tabell-tittel"/>
      </w:pPr>
      <w:r>
        <w:rPr>
          <w:sz w:val="21"/>
          <w:szCs w:val="21"/>
        </w:rPr>
        <w:t xml:space="preserve">Bevilgninger under kap. 2440/5440 Statens direkte økonomiske engasjement </w:t>
      </w:r>
      <w:r>
        <w:rPr>
          <w:sz w:val="21"/>
          <w:szCs w:val="21"/>
        </w:rPr>
        <w:br/>
        <w:t xml:space="preserve">i petroleumsvirksomheten </w:t>
      </w:r>
    </w:p>
    <w:p w:rsidR="00880768" w:rsidRDefault="00880768" w:rsidP="00880768">
      <w:pPr>
        <w:pStyle w:val="Tabellnavn"/>
      </w:pPr>
      <w:r>
        <w:t>05J1xt2</w:t>
      </w:r>
    </w:p>
    <w:tbl>
      <w:tblPr>
        <w:tblStyle w:val="StandardTabell"/>
        <w:tblW w:w="0" w:type="auto"/>
        <w:tblLayout w:type="fixed"/>
        <w:tblLook w:val="04A0" w:firstRow="1" w:lastRow="0" w:firstColumn="1" w:lastColumn="0" w:noHBand="0" w:noVBand="1"/>
      </w:tblPr>
      <w:tblGrid>
        <w:gridCol w:w="1760"/>
        <w:gridCol w:w="3260"/>
        <w:gridCol w:w="1500"/>
        <w:gridCol w:w="1500"/>
        <w:gridCol w:w="1500"/>
      </w:tblGrid>
      <w:tr w:rsidR="00880768" w:rsidTr="00880768">
        <w:trPr>
          <w:trHeight w:val="380"/>
        </w:trPr>
        <w:tc>
          <w:tcPr>
            <w:tcW w:w="1760" w:type="dxa"/>
          </w:tcPr>
          <w:p w:rsidR="00880768" w:rsidRDefault="00880768" w:rsidP="00880768"/>
        </w:tc>
        <w:tc>
          <w:tcPr>
            <w:tcW w:w="3260" w:type="dxa"/>
          </w:tcPr>
          <w:p w:rsidR="00880768" w:rsidRDefault="00880768" w:rsidP="00880768">
            <w:pPr>
              <w:pStyle w:val="Tabellnavn"/>
            </w:pPr>
          </w:p>
        </w:tc>
        <w:tc>
          <w:tcPr>
            <w:tcW w:w="1500" w:type="dxa"/>
          </w:tcPr>
          <w:p w:rsidR="00880768" w:rsidRDefault="00880768" w:rsidP="00880768">
            <w:pPr>
              <w:pStyle w:val="Tabellnavn"/>
            </w:pPr>
          </w:p>
        </w:tc>
        <w:tc>
          <w:tcPr>
            <w:tcW w:w="1500" w:type="dxa"/>
          </w:tcPr>
          <w:p w:rsidR="00880768" w:rsidRDefault="00880768" w:rsidP="00880768">
            <w:pPr>
              <w:pStyle w:val="Tabellnavn"/>
            </w:pPr>
          </w:p>
        </w:tc>
        <w:tc>
          <w:tcPr>
            <w:tcW w:w="1500" w:type="dxa"/>
          </w:tcPr>
          <w:p w:rsidR="00880768" w:rsidRDefault="00880768" w:rsidP="00880768">
            <w:r>
              <w:t>(i mill. kr)</w:t>
            </w:r>
          </w:p>
        </w:tc>
      </w:tr>
      <w:tr w:rsidR="00880768" w:rsidTr="00880768">
        <w:trPr>
          <w:trHeight w:val="600"/>
        </w:trPr>
        <w:tc>
          <w:tcPr>
            <w:tcW w:w="5020" w:type="dxa"/>
            <w:gridSpan w:val="2"/>
          </w:tcPr>
          <w:p w:rsidR="00880768" w:rsidRDefault="00880768" w:rsidP="00880768">
            <w:r>
              <w:t>Kap./post/Underpost</w:t>
            </w:r>
          </w:p>
        </w:tc>
        <w:tc>
          <w:tcPr>
            <w:tcW w:w="1500" w:type="dxa"/>
          </w:tcPr>
          <w:p w:rsidR="00880768" w:rsidRDefault="00880768" w:rsidP="00880768">
            <w:r>
              <w:t xml:space="preserve">Regnskap </w:t>
            </w:r>
            <w:r>
              <w:rPr>
                <w:sz w:val="22"/>
              </w:rPr>
              <w:br/>
            </w:r>
            <w:r>
              <w:t>2017</w:t>
            </w:r>
          </w:p>
        </w:tc>
        <w:tc>
          <w:tcPr>
            <w:tcW w:w="1500" w:type="dxa"/>
          </w:tcPr>
          <w:p w:rsidR="00880768" w:rsidRDefault="00880768" w:rsidP="00880768">
            <w:r>
              <w:t xml:space="preserve">Saldert </w:t>
            </w:r>
            <w:r>
              <w:rPr>
                <w:sz w:val="22"/>
              </w:rPr>
              <w:br/>
            </w:r>
            <w:r>
              <w:t>budsjett 2018</w:t>
            </w:r>
          </w:p>
        </w:tc>
        <w:tc>
          <w:tcPr>
            <w:tcW w:w="1500" w:type="dxa"/>
          </w:tcPr>
          <w:p w:rsidR="00880768" w:rsidRDefault="00880768" w:rsidP="00880768">
            <w:r>
              <w:t xml:space="preserve">Forslag </w:t>
            </w:r>
            <w:r>
              <w:rPr>
                <w:sz w:val="22"/>
              </w:rPr>
              <w:br/>
            </w:r>
            <w:r>
              <w:t>2019</w:t>
            </w:r>
          </w:p>
        </w:tc>
      </w:tr>
      <w:tr w:rsidR="00880768" w:rsidTr="00880768">
        <w:trPr>
          <w:trHeight w:val="380"/>
        </w:trPr>
        <w:tc>
          <w:tcPr>
            <w:tcW w:w="5020" w:type="dxa"/>
            <w:gridSpan w:val="2"/>
          </w:tcPr>
          <w:p w:rsidR="00880768" w:rsidRDefault="00880768" w:rsidP="00880768">
            <w:r>
              <w:rPr>
                <w:rStyle w:val="kursiv"/>
                <w:sz w:val="21"/>
                <w:szCs w:val="21"/>
              </w:rPr>
              <w:t>Kap. 2440</w:t>
            </w:r>
          </w:p>
        </w:tc>
        <w:tc>
          <w:tcPr>
            <w:tcW w:w="1500" w:type="dxa"/>
          </w:tcPr>
          <w:p w:rsidR="00880768" w:rsidRDefault="00880768" w:rsidP="00880768"/>
        </w:tc>
        <w:tc>
          <w:tcPr>
            <w:tcW w:w="1500" w:type="dxa"/>
          </w:tcPr>
          <w:p w:rsidR="00880768" w:rsidRDefault="00880768" w:rsidP="00880768"/>
        </w:tc>
        <w:tc>
          <w:tcPr>
            <w:tcW w:w="1500" w:type="dxa"/>
          </w:tcPr>
          <w:p w:rsidR="00880768" w:rsidRDefault="00880768" w:rsidP="00880768"/>
        </w:tc>
      </w:tr>
      <w:tr w:rsidR="00880768" w:rsidTr="00880768">
        <w:trPr>
          <w:trHeight w:val="380"/>
        </w:trPr>
        <w:tc>
          <w:tcPr>
            <w:tcW w:w="1760" w:type="dxa"/>
          </w:tcPr>
          <w:p w:rsidR="00880768" w:rsidRDefault="00880768" w:rsidP="00880768">
            <w:r>
              <w:t>30</w:t>
            </w:r>
          </w:p>
        </w:tc>
        <w:tc>
          <w:tcPr>
            <w:tcW w:w="3260" w:type="dxa"/>
          </w:tcPr>
          <w:p w:rsidR="00880768" w:rsidRDefault="00880768" w:rsidP="00880768">
            <w:r>
              <w:t>Investeringer</w:t>
            </w:r>
          </w:p>
        </w:tc>
        <w:tc>
          <w:tcPr>
            <w:tcW w:w="1500" w:type="dxa"/>
          </w:tcPr>
          <w:p w:rsidR="00880768" w:rsidRDefault="00880768" w:rsidP="00880768">
            <w:r>
              <w:t>26 564</w:t>
            </w:r>
          </w:p>
        </w:tc>
        <w:tc>
          <w:tcPr>
            <w:tcW w:w="1500" w:type="dxa"/>
          </w:tcPr>
          <w:p w:rsidR="00880768" w:rsidRDefault="00880768" w:rsidP="00880768">
            <w:r>
              <w:t>25 000</w:t>
            </w:r>
          </w:p>
        </w:tc>
        <w:tc>
          <w:tcPr>
            <w:tcW w:w="1500" w:type="dxa"/>
          </w:tcPr>
          <w:p w:rsidR="00880768" w:rsidRDefault="00880768" w:rsidP="00880768">
            <w:r>
              <w:t>27 000</w:t>
            </w:r>
          </w:p>
        </w:tc>
      </w:tr>
      <w:tr w:rsidR="00880768" w:rsidTr="00880768">
        <w:trPr>
          <w:trHeight w:val="380"/>
        </w:trPr>
        <w:tc>
          <w:tcPr>
            <w:tcW w:w="1760" w:type="dxa"/>
          </w:tcPr>
          <w:p w:rsidR="00880768" w:rsidRDefault="00880768" w:rsidP="00880768"/>
        </w:tc>
        <w:tc>
          <w:tcPr>
            <w:tcW w:w="3260" w:type="dxa"/>
          </w:tcPr>
          <w:p w:rsidR="00880768" w:rsidRDefault="00880768" w:rsidP="00880768">
            <w:r>
              <w:t>Sum kap. 2440</w:t>
            </w:r>
          </w:p>
        </w:tc>
        <w:tc>
          <w:tcPr>
            <w:tcW w:w="1500" w:type="dxa"/>
          </w:tcPr>
          <w:p w:rsidR="00880768" w:rsidRDefault="00880768" w:rsidP="00880768">
            <w:r>
              <w:t>26 564</w:t>
            </w:r>
          </w:p>
        </w:tc>
        <w:tc>
          <w:tcPr>
            <w:tcW w:w="1500" w:type="dxa"/>
          </w:tcPr>
          <w:p w:rsidR="00880768" w:rsidRDefault="00880768" w:rsidP="00880768">
            <w:r>
              <w:t>25 000</w:t>
            </w:r>
          </w:p>
        </w:tc>
        <w:tc>
          <w:tcPr>
            <w:tcW w:w="1500" w:type="dxa"/>
          </w:tcPr>
          <w:p w:rsidR="00880768" w:rsidRDefault="00880768" w:rsidP="00880768">
            <w:r>
              <w:t>27 000</w:t>
            </w:r>
          </w:p>
        </w:tc>
      </w:tr>
      <w:tr w:rsidR="00880768" w:rsidTr="00880768">
        <w:trPr>
          <w:trHeight w:val="380"/>
        </w:trPr>
        <w:tc>
          <w:tcPr>
            <w:tcW w:w="5020" w:type="dxa"/>
            <w:gridSpan w:val="2"/>
          </w:tcPr>
          <w:p w:rsidR="00880768" w:rsidRDefault="00880768" w:rsidP="00880768">
            <w:r>
              <w:rPr>
                <w:rStyle w:val="kursiv"/>
                <w:sz w:val="21"/>
                <w:szCs w:val="21"/>
              </w:rPr>
              <w:t>Kap. 5440</w:t>
            </w:r>
          </w:p>
        </w:tc>
        <w:tc>
          <w:tcPr>
            <w:tcW w:w="1500" w:type="dxa"/>
          </w:tcPr>
          <w:p w:rsidR="00880768" w:rsidRDefault="00880768" w:rsidP="00880768"/>
        </w:tc>
        <w:tc>
          <w:tcPr>
            <w:tcW w:w="1500" w:type="dxa"/>
          </w:tcPr>
          <w:p w:rsidR="00880768" w:rsidRDefault="00880768" w:rsidP="00880768"/>
        </w:tc>
        <w:tc>
          <w:tcPr>
            <w:tcW w:w="1500" w:type="dxa"/>
          </w:tcPr>
          <w:p w:rsidR="00880768" w:rsidRDefault="00880768" w:rsidP="00880768"/>
        </w:tc>
      </w:tr>
      <w:tr w:rsidR="00880768" w:rsidTr="00880768">
        <w:trPr>
          <w:trHeight w:val="380"/>
        </w:trPr>
        <w:tc>
          <w:tcPr>
            <w:tcW w:w="1760" w:type="dxa"/>
          </w:tcPr>
          <w:p w:rsidR="00880768" w:rsidRDefault="00880768" w:rsidP="00880768">
            <w:r>
              <w:t>24.1</w:t>
            </w:r>
          </w:p>
        </w:tc>
        <w:tc>
          <w:tcPr>
            <w:tcW w:w="3260" w:type="dxa"/>
          </w:tcPr>
          <w:p w:rsidR="00880768" w:rsidRDefault="00880768" w:rsidP="00880768">
            <w:r>
              <w:t>Driftsinntekter</w:t>
            </w:r>
          </w:p>
        </w:tc>
        <w:tc>
          <w:tcPr>
            <w:tcW w:w="1500" w:type="dxa"/>
          </w:tcPr>
          <w:p w:rsidR="00880768" w:rsidRDefault="00880768" w:rsidP="00880768">
            <w:r>
              <w:t>145 043</w:t>
            </w:r>
          </w:p>
        </w:tc>
        <w:tc>
          <w:tcPr>
            <w:tcW w:w="1500" w:type="dxa"/>
          </w:tcPr>
          <w:p w:rsidR="00880768" w:rsidRDefault="00880768" w:rsidP="00880768">
            <w:r>
              <w:t>130 200</w:t>
            </w:r>
          </w:p>
        </w:tc>
        <w:tc>
          <w:tcPr>
            <w:tcW w:w="1500" w:type="dxa"/>
          </w:tcPr>
          <w:p w:rsidR="00880768" w:rsidRDefault="00880768" w:rsidP="00880768">
            <w:r>
              <w:t>163 500</w:t>
            </w:r>
          </w:p>
        </w:tc>
      </w:tr>
      <w:tr w:rsidR="00880768" w:rsidTr="00880768">
        <w:trPr>
          <w:trHeight w:val="380"/>
        </w:trPr>
        <w:tc>
          <w:tcPr>
            <w:tcW w:w="1760" w:type="dxa"/>
          </w:tcPr>
          <w:p w:rsidR="00880768" w:rsidRDefault="00880768" w:rsidP="00880768">
            <w:r>
              <w:t>24.2</w:t>
            </w:r>
          </w:p>
        </w:tc>
        <w:tc>
          <w:tcPr>
            <w:tcW w:w="3260" w:type="dxa"/>
          </w:tcPr>
          <w:p w:rsidR="00880768" w:rsidRDefault="00880768" w:rsidP="00880768">
            <w:r>
              <w:t>Driftsutgifter</w:t>
            </w:r>
          </w:p>
        </w:tc>
        <w:tc>
          <w:tcPr>
            <w:tcW w:w="1500" w:type="dxa"/>
          </w:tcPr>
          <w:p w:rsidR="00880768" w:rsidRDefault="00880768" w:rsidP="00880768">
            <w:r>
              <w:t>-28 775</w:t>
            </w:r>
          </w:p>
        </w:tc>
        <w:tc>
          <w:tcPr>
            <w:tcW w:w="1500" w:type="dxa"/>
          </w:tcPr>
          <w:p w:rsidR="00880768" w:rsidRDefault="00880768" w:rsidP="00880768">
            <w:r>
              <w:t>-26 300</w:t>
            </w:r>
          </w:p>
        </w:tc>
        <w:tc>
          <w:tcPr>
            <w:tcW w:w="1500" w:type="dxa"/>
          </w:tcPr>
          <w:p w:rsidR="00880768" w:rsidRDefault="00880768" w:rsidP="00880768">
            <w:r>
              <w:t>-28 500</w:t>
            </w:r>
          </w:p>
        </w:tc>
      </w:tr>
      <w:tr w:rsidR="00880768" w:rsidTr="00880768">
        <w:trPr>
          <w:trHeight w:val="380"/>
        </w:trPr>
        <w:tc>
          <w:tcPr>
            <w:tcW w:w="1760" w:type="dxa"/>
          </w:tcPr>
          <w:p w:rsidR="00880768" w:rsidRDefault="00880768" w:rsidP="00880768">
            <w:r>
              <w:t>24.3</w:t>
            </w:r>
          </w:p>
        </w:tc>
        <w:tc>
          <w:tcPr>
            <w:tcW w:w="3260" w:type="dxa"/>
          </w:tcPr>
          <w:p w:rsidR="00880768" w:rsidRDefault="00880768" w:rsidP="00880768">
            <w:r>
              <w:t>Lete- og feltutviklingsutgifter</w:t>
            </w:r>
          </w:p>
        </w:tc>
        <w:tc>
          <w:tcPr>
            <w:tcW w:w="1500" w:type="dxa"/>
          </w:tcPr>
          <w:p w:rsidR="00880768" w:rsidRDefault="00880768" w:rsidP="00880768">
            <w:r>
              <w:t>-1 432</w:t>
            </w:r>
          </w:p>
        </w:tc>
        <w:tc>
          <w:tcPr>
            <w:tcW w:w="1500" w:type="dxa"/>
          </w:tcPr>
          <w:p w:rsidR="00880768" w:rsidRDefault="00880768" w:rsidP="00880768">
            <w:r>
              <w:t>-1 500</w:t>
            </w:r>
          </w:p>
        </w:tc>
        <w:tc>
          <w:tcPr>
            <w:tcW w:w="1500" w:type="dxa"/>
          </w:tcPr>
          <w:p w:rsidR="00880768" w:rsidRDefault="00880768" w:rsidP="00880768">
            <w:r>
              <w:t>-2 100</w:t>
            </w:r>
          </w:p>
        </w:tc>
      </w:tr>
      <w:tr w:rsidR="00880768" w:rsidTr="00880768">
        <w:trPr>
          <w:trHeight w:val="380"/>
        </w:trPr>
        <w:tc>
          <w:tcPr>
            <w:tcW w:w="1760" w:type="dxa"/>
          </w:tcPr>
          <w:p w:rsidR="00880768" w:rsidRDefault="00880768" w:rsidP="00880768">
            <w:r>
              <w:t>24.4</w:t>
            </w:r>
          </w:p>
        </w:tc>
        <w:tc>
          <w:tcPr>
            <w:tcW w:w="3260" w:type="dxa"/>
          </w:tcPr>
          <w:p w:rsidR="00880768" w:rsidRDefault="00880768" w:rsidP="00880768">
            <w:r>
              <w:t>Avskrivninger</w:t>
            </w:r>
          </w:p>
        </w:tc>
        <w:tc>
          <w:tcPr>
            <w:tcW w:w="1500" w:type="dxa"/>
          </w:tcPr>
          <w:p w:rsidR="00880768" w:rsidRDefault="00880768" w:rsidP="00880768">
            <w:r>
              <w:t>-24 648</w:t>
            </w:r>
          </w:p>
        </w:tc>
        <w:tc>
          <w:tcPr>
            <w:tcW w:w="1500" w:type="dxa"/>
          </w:tcPr>
          <w:p w:rsidR="00880768" w:rsidRDefault="00880768" w:rsidP="00880768">
            <w:r>
              <w:t>-22 200</w:t>
            </w:r>
          </w:p>
        </w:tc>
        <w:tc>
          <w:tcPr>
            <w:tcW w:w="1500" w:type="dxa"/>
          </w:tcPr>
          <w:p w:rsidR="00880768" w:rsidRDefault="00880768" w:rsidP="00880768">
            <w:r>
              <w:t>-22 100</w:t>
            </w:r>
          </w:p>
        </w:tc>
      </w:tr>
      <w:tr w:rsidR="00880768" w:rsidTr="00880768">
        <w:trPr>
          <w:trHeight w:val="380"/>
        </w:trPr>
        <w:tc>
          <w:tcPr>
            <w:tcW w:w="1760" w:type="dxa"/>
          </w:tcPr>
          <w:p w:rsidR="00880768" w:rsidRDefault="00880768" w:rsidP="00880768">
            <w:r>
              <w:t>24.5</w:t>
            </w:r>
          </w:p>
        </w:tc>
        <w:tc>
          <w:tcPr>
            <w:tcW w:w="3260" w:type="dxa"/>
          </w:tcPr>
          <w:p w:rsidR="00880768" w:rsidRDefault="00880768" w:rsidP="00880768">
            <w:r>
              <w:t>Renter av statens kapital</w:t>
            </w:r>
          </w:p>
        </w:tc>
        <w:tc>
          <w:tcPr>
            <w:tcW w:w="1500" w:type="dxa"/>
          </w:tcPr>
          <w:p w:rsidR="00880768" w:rsidRDefault="00880768" w:rsidP="00880768">
            <w:r>
              <w:t>-3 568</w:t>
            </w:r>
          </w:p>
        </w:tc>
        <w:tc>
          <w:tcPr>
            <w:tcW w:w="1500" w:type="dxa"/>
          </w:tcPr>
          <w:p w:rsidR="00880768" w:rsidRDefault="00880768" w:rsidP="00880768">
            <w:r>
              <w:t>-3 300</w:t>
            </w:r>
          </w:p>
        </w:tc>
        <w:tc>
          <w:tcPr>
            <w:tcW w:w="1500" w:type="dxa"/>
          </w:tcPr>
          <w:p w:rsidR="00880768" w:rsidRDefault="00880768" w:rsidP="00880768">
            <w:r>
              <w:t>-2 900</w:t>
            </w:r>
          </w:p>
        </w:tc>
      </w:tr>
      <w:tr w:rsidR="00880768" w:rsidTr="00880768">
        <w:trPr>
          <w:trHeight w:val="380"/>
        </w:trPr>
        <w:tc>
          <w:tcPr>
            <w:tcW w:w="1760" w:type="dxa"/>
          </w:tcPr>
          <w:p w:rsidR="00880768" w:rsidRDefault="00880768" w:rsidP="00880768">
            <w:r>
              <w:t>24</w:t>
            </w:r>
          </w:p>
        </w:tc>
        <w:tc>
          <w:tcPr>
            <w:tcW w:w="3260" w:type="dxa"/>
          </w:tcPr>
          <w:p w:rsidR="00880768" w:rsidRDefault="00880768" w:rsidP="00880768">
            <w:r>
              <w:t>Driftsresultat</w:t>
            </w:r>
          </w:p>
        </w:tc>
        <w:tc>
          <w:tcPr>
            <w:tcW w:w="1500" w:type="dxa"/>
          </w:tcPr>
          <w:p w:rsidR="00880768" w:rsidRDefault="00880768" w:rsidP="00880768">
            <w:r>
              <w:t>86 620</w:t>
            </w:r>
          </w:p>
        </w:tc>
        <w:tc>
          <w:tcPr>
            <w:tcW w:w="1500" w:type="dxa"/>
          </w:tcPr>
          <w:p w:rsidR="00880768" w:rsidRDefault="00880768" w:rsidP="00880768">
            <w:r>
              <w:t>76 900</w:t>
            </w:r>
          </w:p>
        </w:tc>
        <w:tc>
          <w:tcPr>
            <w:tcW w:w="1500" w:type="dxa"/>
          </w:tcPr>
          <w:p w:rsidR="00880768" w:rsidRDefault="00880768" w:rsidP="00880768">
            <w:r>
              <w:t>107 900</w:t>
            </w:r>
          </w:p>
        </w:tc>
      </w:tr>
      <w:tr w:rsidR="00880768" w:rsidTr="00880768">
        <w:trPr>
          <w:trHeight w:val="380"/>
        </w:trPr>
        <w:tc>
          <w:tcPr>
            <w:tcW w:w="1760" w:type="dxa"/>
          </w:tcPr>
          <w:p w:rsidR="00880768" w:rsidRDefault="00880768" w:rsidP="00880768">
            <w:r>
              <w:t>30</w:t>
            </w:r>
          </w:p>
        </w:tc>
        <w:tc>
          <w:tcPr>
            <w:tcW w:w="3260" w:type="dxa"/>
          </w:tcPr>
          <w:p w:rsidR="00880768" w:rsidRDefault="00880768" w:rsidP="00880768">
            <w:r>
              <w:t>Avskrivninger</w:t>
            </w:r>
          </w:p>
        </w:tc>
        <w:tc>
          <w:tcPr>
            <w:tcW w:w="1500" w:type="dxa"/>
          </w:tcPr>
          <w:p w:rsidR="00880768" w:rsidRDefault="00880768" w:rsidP="00880768">
            <w:r>
              <w:t>24 648</w:t>
            </w:r>
          </w:p>
        </w:tc>
        <w:tc>
          <w:tcPr>
            <w:tcW w:w="1500" w:type="dxa"/>
          </w:tcPr>
          <w:p w:rsidR="00880768" w:rsidRDefault="00880768" w:rsidP="00880768">
            <w:r>
              <w:t>22 200</w:t>
            </w:r>
          </w:p>
        </w:tc>
        <w:tc>
          <w:tcPr>
            <w:tcW w:w="1500" w:type="dxa"/>
          </w:tcPr>
          <w:p w:rsidR="00880768" w:rsidRDefault="00880768" w:rsidP="00880768">
            <w:r>
              <w:t>22 100</w:t>
            </w:r>
          </w:p>
        </w:tc>
      </w:tr>
      <w:tr w:rsidR="00880768" w:rsidTr="00880768">
        <w:trPr>
          <w:trHeight w:val="380"/>
        </w:trPr>
        <w:tc>
          <w:tcPr>
            <w:tcW w:w="1760" w:type="dxa"/>
          </w:tcPr>
          <w:p w:rsidR="00880768" w:rsidRDefault="00880768" w:rsidP="00880768">
            <w:r>
              <w:t>80</w:t>
            </w:r>
          </w:p>
        </w:tc>
        <w:tc>
          <w:tcPr>
            <w:tcW w:w="3260" w:type="dxa"/>
          </w:tcPr>
          <w:p w:rsidR="00880768" w:rsidRDefault="00880768" w:rsidP="00880768">
            <w:r>
              <w:t>Renter av statens kapital</w:t>
            </w:r>
          </w:p>
        </w:tc>
        <w:tc>
          <w:tcPr>
            <w:tcW w:w="1500" w:type="dxa"/>
          </w:tcPr>
          <w:p w:rsidR="00880768" w:rsidRDefault="00880768" w:rsidP="00880768">
            <w:r>
              <w:t>3 581</w:t>
            </w:r>
          </w:p>
        </w:tc>
        <w:tc>
          <w:tcPr>
            <w:tcW w:w="1500" w:type="dxa"/>
          </w:tcPr>
          <w:p w:rsidR="00880768" w:rsidRDefault="00880768" w:rsidP="00880768">
            <w:r>
              <w:t>3 300</w:t>
            </w:r>
          </w:p>
        </w:tc>
        <w:tc>
          <w:tcPr>
            <w:tcW w:w="1500" w:type="dxa"/>
          </w:tcPr>
          <w:p w:rsidR="00880768" w:rsidRDefault="00880768" w:rsidP="00880768">
            <w:r>
              <w:t>2 900</w:t>
            </w:r>
          </w:p>
        </w:tc>
      </w:tr>
      <w:tr w:rsidR="00880768" w:rsidTr="00880768">
        <w:trPr>
          <w:trHeight w:val="380"/>
        </w:trPr>
        <w:tc>
          <w:tcPr>
            <w:tcW w:w="1760" w:type="dxa"/>
          </w:tcPr>
          <w:p w:rsidR="00880768" w:rsidRDefault="00880768" w:rsidP="00880768">
            <w:r>
              <w:t>85</w:t>
            </w:r>
          </w:p>
        </w:tc>
        <w:tc>
          <w:tcPr>
            <w:tcW w:w="3260" w:type="dxa"/>
          </w:tcPr>
          <w:p w:rsidR="00880768" w:rsidRDefault="00880768" w:rsidP="00880768">
            <w:r>
              <w:t>Renter av mellomregnskapet</w:t>
            </w:r>
          </w:p>
        </w:tc>
        <w:tc>
          <w:tcPr>
            <w:tcW w:w="1500" w:type="dxa"/>
          </w:tcPr>
          <w:p w:rsidR="00880768" w:rsidRDefault="00880768" w:rsidP="00880768">
            <w:r>
              <w:t>-13</w:t>
            </w:r>
          </w:p>
        </w:tc>
        <w:tc>
          <w:tcPr>
            <w:tcW w:w="1500" w:type="dxa"/>
          </w:tcPr>
          <w:p w:rsidR="00880768" w:rsidRDefault="00880768" w:rsidP="00880768"/>
        </w:tc>
        <w:tc>
          <w:tcPr>
            <w:tcW w:w="1500" w:type="dxa"/>
          </w:tcPr>
          <w:p w:rsidR="00880768" w:rsidRDefault="00880768" w:rsidP="00880768"/>
        </w:tc>
      </w:tr>
      <w:tr w:rsidR="00880768" w:rsidTr="00880768">
        <w:trPr>
          <w:trHeight w:val="380"/>
        </w:trPr>
        <w:tc>
          <w:tcPr>
            <w:tcW w:w="1760" w:type="dxa"/>
          </w:tcPr>
          <w:p w:rsidR="00880768" w:rsidRDefault="00880768" w:rsidP="00880768"/>
        </w:tc>
        <w:tc>
          <w:tcPr>
            <w:tcW w:w="3260" w:type="dxa"/>
          </w:tcPr>
          <w:p w:rsidR="00880768" w:rsidRDefault="00880768" w:rsidP="00880768">
            <w:r>
              <w:t>Sum kap. 5440</w:t>
            </w:r>
          </w:p>
        </w:tc>
        <w:tc>
          <w:tcPr>
            <w:tcW w:w="1500" w:type="dxa"/>
          </w:tcPr>
          <w:p w:rsidR="00880768" w:rsidRDefault="00880768" w:rsidP="00880768">
            <w:r>
              <w:t>114 836</w:t>
            </w:r>
          </w:p>
        </w:tc>
        <w:tc>
          <w:tcPr>
            <w:tcW w:w="1500" w:type="dxa"/>
          </w:tcPr>
          <w:p w:rsidR="00880768" w:rsidRDefault="00880768" w:rsidP="00880768">
            <w:r>
              <w:t>102 400</w:t>
            </w:r>
          </w:p>
        </w:tc>
        <w:tc>
          <w:tcPr>
            <w:tcW w:w="1500" w:type="dxa"/>
          </w:tcPr>
          <w:p w:rsidR="00880768" w:rsidRDefault="00880768" w:rsidP="00880768">
            <w:r>
              <w:t>132 900</w:t>
            </w:r>
          </w:p>
        </w:tc>
      </w:tr>
      <w:tr w:rsidR="00880768" w:rsidTr="00880768">
        <w:trPr>
          <w:trHeight w:val="380"/>
        </w:trPr>
        <w:tc>
          <w:tcPr>
            <w:tcW w:w="5020" w:type="dxa"/>
            <w:gridSpan w:val="2"/>
          </w:tcPr>
          <w:p w:rsidR="00880768" w:rsidRDefault="00880768" w:rsidP="00880768">
            <w:r>
              <w:t>Kontantstrømmen til SDØE:</w:t>
            </w:r>
          </w:p>
        </w:tc>
        <w:tc>
          <w:tcPr>
            <w:tcW w:w="1500" w:type="dxa"/>
          </w:tcPr>
          <w:p w:rsidR="00880768" w:rsidRDefault="00880768" w:rsidP="00880768"/>
        </w:tc>
        <w:tc>
          <w:tcPr>
            <w:tcW w:w="1500" w:type="dxa"/>
          </w:tcPr>
          <w:p w:rsidR="00880768" w:rsidRDefault="00880768" w:rsidP="00880768"/>
        </w:tc>
        <w:tc>
          <w:tcPr>
            <w:tcW w:w="1500" w:type="dxa"/>
          </w:tcPr>
          <w:p w:rsidR="00880768" w:rsidRDefault="00880768" w:rsidP="00880768"/>
        </w:tc>
      </w:tr>
      <w:tr w:rsidR="00880768" w:rsidTr="00880768">
        <w:trPr>
          <w:trHeight w:val="380"/>
        </w:trPr>
        <w:tc>
          <w:tcPr>
            <w:tcW w:w="5020" w:type="dxa"/>
            <w:gridSpan w:val="2"/>
          </w:tcPr>
          <w:p w:rsidR="00880768" w:rsidRDefault="00880768" w:rsidP="00880768">
            <w:r>
              <w:t>Innbetalinger</w:t>
            </w:r>
            <w:r>
              <w:rPr>
                <w:rStyle w:val="skrift-hevet"/>
                <w:sz w:val="21"/>
                <w:szCs w:val="21"/>
              </w:rPr>
              <w:t>1</w:t>
            </w:r>
          </w:p>
        </w:tc>
        <w:tc>
          <w:tcPr>
            <w:tcW w:w="1500" w:type="dxa"/>
          </w:tcPr>
          <w:p w:rsidR="00880768" w:rsidRDefault="00880768" w:rsidP="00880768">
            <w:r>
              <w:t>145 030</w:t>
            </w:r>
          </w:p>
        </w:tc>
        <w:tc>
          <w:tcPr>
            <w:tcW w:w="1500" w:type="dxa"/>
          </w:tcPr>
          <w:p w:rsidR="00880768" w:rsidRDefault="00880768" w:rsidP="00880768">
            <w:r>
              <w:t>130 200</w:t>
            </w:r>
          </w:p>
        </w:tc>
        <w:tc>
          <w:tcPr>
            <w:tcW w:w="1500" w:type="dxa"/>
          </w:tcPr>
          <w:p w:rsidR="00880768" w:rsidRDefault="00880768" w:rsidP="00880768">
            <w:r>
              <w:t>163 500</w:t>
            </w:r>
          </w:p>
        </w:tc>
      </w:tr>
      <w:tr w:rsidR="00880768" w:rsidTr="00880768">
        <w:trPr>
          <w:trHeight w:val="380"/>
        </w:trPr>
        <w:tc>
          <w:tcPr>
            <w:tcW w:w="5020" w:type="dxa"/>
            <w:gridSpan w:val="2"/>
          </w:tcPr>
          <w:p w:rsidR="00880768" w:rsidRDefault="00880768" w:rsidP="00880768">
            <w:r>
              <w:t>Utbetalinger</w:t>
            </w:r>
            <w:r>
              <w:rPr>
                <w:rStyle w:val="skrift-hevet"/>
                <w:sz w:val="21"/>
                <w:szCs w:val="21"/>
              </w:rPr>
              <w:t>2</w:t>
            </w:r>
          </w:p>
        </w:tc>
        <w:tc>
          <w:tcPr>
            <w:tcW w:w="1500" w:type="dxa"/>
          </w:tcPr>
          <w:p w:rsidR="00880768" w:rsidRDefault="00880768" w:rsidP="00880768">
            <w:r>
              <w:t>56 771</w:t>
            </w:r>
          </w:p>
        </w:tc>
        <w:tc>
          <w:tcPr>
            <w:tcW w:w="1500" w:type="dxa"/>
          </w:tcPr>
          <w:p w:rsidR="00880768" w:rsidRDefault="00880768" w:rsidP="00880768">
            <w:r>
              <w:t>52 800</w:t>
            </w:r>
          </w:p>
        </w:tc>
        <w:tc>
          <w:tcPr>
            <w:tcW w:w="1500" w:type="dxa"/>
          </w:tcPr>
          <w:p w:rsidR="00880768" w:rsidRDefault="00880768" w:rsidP="00880768">
            <w:r>
              <w:t>57 600</w:t>
            </w:r>
          </w:p>
        </w:tc>
      </w:tr>
      <w:tr w:rsidR="00880768" w:rsidTr="00880768">
        <w:trPr>
          <w:trHeight w:val="380"/>
        </w:trPr>
        <w:tc>
          <w:tcPr>
            <w:tcW w:w="5020" w:type="dxa"/>
            <w:gridSpan w:val="2"/>
          </w:tcPr>
          <w:p w:rsidR="00880768" w:rsidRDefault="00880768" w:rsidP="00880768">
            <w:r>
              <w:t>Netto kontantstrøm fra SDØE</w:t>
            </w:r>
          </w:p>
        </w:tc>
        <w:tc>
          <w:tcPr>
            <w:tcW w:w="1500" w:type="dxa"/>
          </w:tcPr>
          <w:p w:rsidR="00880768" w:rsidRDefault="00880768" w:rsidP="00880768">
            <w:r>
              <w:t>88 259</w:t>
            </w:r>
          </w:p>
        </w:tc>
        <w:tc>
          <w:tcPr>
            <w:tcW w:w="1500" w:type="dxa"/>
          </w:tcPr>
          <w:p w:rsidR="00880768" w:rsidRDefault="00880768" w:rsidP="00880768">
            <w:r>
              <w:t>77 400</w:t>
            </w:r>
          </w:p>
        </w:tc>
        <w:tc>
          <w:tcPr>
            <w:tcW w:w="1500" w:type="dxa"/>
          </w:tcPr>
          <w:p w:rsidR="00880768" w:rsidRDefault="00880768" w:rsidP="00880768">
            <w:r>
              <w:t>105 900</w:t>
            </w:r>
          </w:p>
        </w:tc>
      </w:tr>
    </w:tbl>
    <w:p w:rsidR="00880768" w:rsidRDefault="00880768" w:rsidP="00E809D4">
      <w:pPr>
        <w:pStyle w:val="tabell-noter"/>
        <w:rPr>
          <w:rStyle w:val="skrift-hevet"/>
          <w:sz w:val="24"/>
          <w:szCs w:val="24"/>
        </w:rPr>
      </w:pPr>
      <w:r>
        <w:rPr>
          <w:rStyle w:val="skrift-hevet"/>
          <w:sz w:val="17"/>
          <w:szCs w:val="17"/>
        </w:rPr>
        <w:t>1</w:t>
      </w:r>
      <w:r>
        <w:tab/>
        <w:t>Innbetalinger = driftsinntekter + renter av mellomregnskapet</w:t>
      </w:r>
    </w:p>
    <w:p w:rsidR="00880768" w:rsidRDefault="00880768" w:rsidP="00880768">
      <w:pPr>
        <w:pStyle w:val="tabell-noter"/>
        <w:rPr>
          <w:rFonts w:ascii="UniMyriad Regular" w:hAnsi="UniMyriad Regular" w:cs="UniMyriad Regular"/>
          <w:sz w:val="21"/>
          <w:szCs w:val="21"/>
        </w:rPr>
      </w:pPr>
      <w:r>
        <w:rPr>
          <w:rStyle w:val="skrift-hevet"/>
          <w:sz w:val="17"/>
          <w:szCs w:val="17"/>
        </w:rPr>
        <w:t>2</w:t>
      </w:r>
      <w:r>
        <w:tab/>
        <w:t>Utbetalinger = driftsutgifter + lete- og feltutviklingsutgifter + investeringer</w:t>
      </w:r>
    </w:p>
    <w:p w:rsidR="00880768" w:rsidRDefault="00880768" w:rsidP="00880768">
      <w:pPr>
        <w:pStyle w:val="avsnitt-undertittel"/>
      </w:pPr>
      <w:r>
        <w:t>Vedrørende 2018</w:t>
      </w:r>
    </w:p>
    <w:p w:rsidR="00880768" w:rsidRDefault="00880768" w:rsidP="00880768">
      <w:r>
        <w:t xml:space="preserve">Ved Stortingets vedtak av 15. juni 2018 ble post 24 og post 30 økt med henholdsvis 16 600 og 3 800 mill. kroner, jf. Prop. 85 S (2017–2018) og Innst. 400 S (2017–2018). </w:t>
      </w:r>
    </w:p>
    <w:p w:rsidR="00880768" w:rsidRDefault="00880768" w:rsidP="00880768">
      <w:pPr>
        <w:pStyle w:val="b-post"/>
      </w:pPr>
      <w:r>
        <w:t xml:space="preserve">Post 30 Investeringer </w:t>
      </w:r>
    </w:p>
    <w:p w:rsidR="00880768" w:rsidRDefault="00880768" w:rsidP="00880768">
      <w:r>
        <w:t xml:space="preserve">Posten omfatter SDØEs andel av investeringer på norsk sokkel. Dette gjelder investeringer i felt i drift, under utbygging og prosjekt under vurdering. </w:t>
      </w:r>
    </w:p>
    <w:p w:rsidR="00880768" w:rsidRDefault="00880768" w:rsidP="00880768">
      <w:r>
        <w:lastRenderedPageBreak/>
        <w:t>Det foreslås en bevilgning på 27 000 mill. kroner. De største investeringene omfatter Troll, Cas</w:t>
      </w:r>
      <w:r>
        <w:t>t</w:t>
      </w:r>
      <w:r>
        <w:t xml:space="preserve">berg, Sverdrup, Snorre, Oseberg, Gullfaks, Heidrun, Åsgard og Dvalin. </w:t>
      </w:r>
    </w:p>
    <w:p w:rsidR="00880768" w:rsidRDefault="00880768" w:rsidP="00880768">
      <w:r>
        <w:t xml:space="preserve">Kontraktsmessige forpliktelser relatert til investeringer i nye og eksisterende felt beløp seg til 31 500 mill. kroner per 31. desember 2017. Beløpet er basert på innrapportering fra operatørene. </w:t>
      </w:r>
    </w:p>
    <w:p w:rsidR="00880768" w:rsidRDefault="00880768" w:rsidP="00880768">
      <w:pPr>
        <w:pStyle w:val="b-post"/>
      </w:pPr>
      <w:r>
        <w:t>Post 24 Driftsresultat</w:t>
      </w:r>
    </w:p>
    <w:p w:rsidR="00880768" w:rsidRDefault="00880768" w:rsidP="00880768">
      <w:pPr>
        <w:pStyle w:val="b-underpost"/>
      </w:pPr>
      <w:r>
        <w:t>Underpost 24.1 Driftsinntekter</w:t>
      </w:r>
    </w:p>
    <w:p w:rsidR="00880768" w:rsidRDefault="00880768" w:rsidP="00880768">
      <w:r>
        <w:t xml:space="preserve">Driftsinntektene består av inntekter fra salg av petroleumsprodukter, netto tariffinntekter knyttet til prosessering og transport av olje og gass samt andre inntekter som hovedsakelig består av inntekter fra netto overskuddsavtaler. </w:t>
      </w:r>
    </w:p>
    <w:p w:rsidR="00880768" w:rsidRDefault="00880768" w:rsidP="00880768">
      <w:r>
        <w:t>Driftsinntektene anslås til 163 500 mill. kroner, en økning på 33 300 mill. kroner fra saldert bu</w:t>
      </w:r>
      <w:r>
        <w:t>d</w:t>
      </w:r>
      <w:r>
        <w:t>sjett 2018. Dette skyldes i hovedsak økte prisforutsetninger for olje og gass. Anslaget baserer seg på en oljepris på 583 kroner per fat for 2019 sammenlignet med 439 kroner per fat i saldert budsjett 2018.</w:t>
      </w:r>
    </w:p>
    <w:p w:rsidR="00880768" w:rsidRDefault="00880768" w:rsidP="00880768">
      <w:pPr>
        <w:pStyle w:val="b-underpost"/>
      </w:pPr>
      <w:r>
        <w:t>Underpost 24.2 Driftsutgifter</w:t>
      </w:r>
    </w:p>
    <w:p w:rsidR="00880768" w:rsidRDefault="00880768" w:rsidP="00880768">
      <w:r>
        <w:t>Driftsutgiftene består av utgifter til drift av anlegg, tariffutgifter, gasskjøp og gassadministrasjon</w:t>
      </w:r>
      <w:r>
        <w:t>s</w:t>
      </w:r>
      <w:r>
        <w:t>utgifter samt fjerningsutgifter. Utgifter til eventuelle redetermineringer under samordningsavtaler for petroleumsvirksomhet der staten er deltaker gjennom SDØE dekkes også under posten.</w:t>
      </w:r>
    </w:p>
    <w:p w:rsidR="00880768" w:rsidRDefault="00880768" w:rsidP="00880768">
      <w:r>
        <w:t xml:space="preserve">Driftsutgiftene anslås til 28 500 mill. kroner, en økning på 2 200 mill. kroner fra saldert budsjett 2018. Dette skyldes i hovedsak økte kostnader for kjøp av tredjepartsgass. </w:t>
      </w:r>
    </w:p>
    <w:p w:rsidR="00880768" w:rsidRDefault="00880768" w:rsidP="00880768">
      <w:r>
        <w:t xml:space="preserve">Forpliktelser i forbindelse med løpende forretningsvirksomhet som leie av rigger, forsyningsskip, produksjonsskip, helikoptre, beredskapsfartøy, baser og lignende beløp seg til 20 488 mill. kroner per 31. desember 2017. Beløpet representerer kanselleringskostnad. </w:t>
      </w:r>
    </w:p>
    <w:p w:rsidR="00880768" w:rsidRDefault="00880768" w:rsidP="00880768">
      <w:r>
        <w:t xml:space="preserve">Forpliktelsene er basert på innrapportering fra operatørene. </w:t>
      </w:r>
    </w:p>
    <w:p w:rsidR="00880768" w:rsidRDefault="00880768" w:rsidP="00880768">
      <w:r>
        <w:t>Transport og øvrige forpliktelser i forbindelse med Equinors avsetning av statens gassvolumer b</w:t>
      </w:r>
      <w:r>
        <w:t>e</w:t>
      </w:r>
      <w:r>
        <w:t>løp seg til 13 050 mill. kroner per 31. desember 2017. Forpliktelsene består hovedsakelig av tran</w:t>
      </w:r>
      <w:r>
        <w:t>s</w:t>
      </w:r>
      <w:r>
        <w:t xml:space="preserve">port- og lagerforpliktelser i Storbritannia og på kontinentet, samt terminalkapasitetsforpliktelser på Cove Point terminalen i USA. Statens andel av utstedte garantier knyttet til avsetning av olje og gass utgjør i størrelsesorden 1 800 mill. kroner. </w:t>
      </w:r>
    </w:p>
    <w:p w:rsidR="00880768" w:rsidRDefault="00880768" w:rsidP="00880768">
      <w:pPr>
        <w:pStyle w:val="b-underpost"/>
      </w:pPr>
      <w:r>
        <w:t>Underpost 24.3 Lete- og feltutviklingsutgifter</w:t>
      </w:r>
    </w:p>
    <w:p w:rsidR="00880768" w:rsidRDefault="00880768" w:rsidP="00880768">
      <w:r>
        <w:t>Lete- og feltutviklingsutgifter er knyttet til leting etter olje- og gassressurser, samt bearbeiding og utvikling av konsepter fra funn som er gjort til beslutning om drivverdighet. Utgifter omfatter ge</w:t>
      </w:r>
      <w:r>
        <w:t>o</w:t>
      </w:r>
      <w:r>
        <w:t xml:space="preserve">logistudier, seismisk kartlegging, leteboring, avgrensningsboring, testing av funn, feltevaluering og konseptstudier. </w:t>
      </w:r>
    </w:p>
    <w:p w:rsidR="00880768" w:rsidRDefault="00880768" w:rsidP="00880768">
      <w:r>
        <w:t xml:space="preserve">Lete- og feltutviklingsutgifter anslås til 2 100 mill. kroner. </w:t>
      </w:r>
    </w:p>
    <w:p w:rsidR="00880768" w:rsidRDefault="00880768" w:rsidP="00880768">
      <w:r>
        <w:t xml:space="preserve">Ved utgangen av 2017 var Petoro som rettighetshaver for SDØE forpliktet til å delta i 23 brønner med en forventet kostnad for SDØE i 2018 på 1 400 mill. kroner. </w:t>
      </w:r>
    </w:p>
    <w:p w:rsidR="00880768" w:rsidRDefault="00880768" w:rsidP="00880768">
      <w:pPr>
        <w:pStyle w:val="b-underpost"/>
      </w:pPr>
      <w:r>
        <w:t>Underpost 24.4 og post 30 Avskrivninger</w:t>
      </w:r>
    </w:p>
    <w:p w:rsidR="00880768" w:rsidRDefault="00880768" w:rsidP="00880768">
      <w:r>
        <w:t>Driften belastes med avskrivninger for å ta hensyn til kapitalslit og gi et mer korrekt bilde av re</w:t>
      </w:r>
      <w:r>
        <w:t>s</w:t>
      </w:r>
      <w:r>
        <w:t>sursbruken. Dette er en kalkulatorisk kostnad uten kontantstrømseffekt, jf. motpost under kap. 5440, post 30.</w:t>
      </w:r>
    </w:p>
    <w:p w:rsidR="00880768" w:rsidRDefault="00880768" w:rsidP="00880768">
      <w:r>
        <w:t>Avskrivninger anslås til 22 100 mill. kroner.</w:t>
      </w:r>
    </w:p>
    <w:p w:rsidR="00880768" w:rsidRDefault="00880768" w:rsidP="00880768">
      <w:r>
        <w:lastRenderedPageBreak/>
        <w:t>SDØE-regnskapet blir avgitt både etter kontantprinsippet og etter regnskapsprinsippet/ NGAAP. I henhold til NGAAP bokføres avskrivninger basert på produksjonsenhetsmetoden og på linearitet. Ordinære avskrivninger på olje- og gassproduserende anlegg beregnes for hvert enkelt felt og fel</w:t>
      </w:r>
      <w:r>
        <w:t>t</w:t>
      </w:r>
      <w:r>
        <w:t>dedikert transportsystem etter produksjonsenhetsmetoden. Denne metoden innebærer at invest</w:t>
      </w:r>
      <w:r>
        <w:t>e</w:t>
      </w:r>
      <w:r>
        <w:t>ringer avskrives i tråd med produksjonen det enkelte år. Avskrivningsnøkkelen er som følger: (Netto bokført verdi * produksjon i perioden)/gjenværende reserver. Av praktiske årsaker benyttes salgsvolumene i perioden som en erstatter for produksjonsvolumene. Dette fordi salgsvolumene er tilgjengelig tidligere enn produksjonstallene og at de to volumene over tid er like. For avskri</w:t>
      </w:r>
      <w:r>
        <w:t>v</w:t>
      </w:r>
      <w:r>
        <w:t>ningsformål benyttes en andel av Oljedirektoratets forventningsbaserte reserveanslag for utbygde reserver. Disse anslagene revideres årlig. Ordinære avskrivninger for transportsystemer samt stig</w:t>
      </w:r>
      <w:r>
        <w:t>e</w:t>
      </w:r>
      <w:r>
        <w:t>rørsplattformer som benyttes av flere felt, blir beregnet lineært over gjeldende konsesjonstid. Andre driftsmidler blir avskrevet lineært over antatt økonomisk levetid.</w:t>
      </w:r>
    </w:p>
    <w:p w:rsidR="00880768" w:rsidRDefault="00880768" w:rsidP="00880768">
      <w:pPr>
        <w:pStyle w:val="b-underpost"/>
      </w:pPr>
      <w:r>
        <w:t>Underpost 24.5 og post 80 Renter av statens kapital</w:t>
      </w:r>
    </w:p>
    <w:p w:rsidR="00880768" w:rsidRDefault="00880768" w:rsidP="00880768">
      <w:r>
        <w:t>Driften belastes med renter på statens kapital for å ta hensyn til kapitalkostnader og gi et mer ko</w:t>
      </w:r>
      <w:r>
        <w:t>r</w:t>
      </w:r>
      <w:r>
        <w:t xml:space="preserve">rekt bilde av ressursbruken. Dette er en kalkulatorisk kostnad uten kontantstrømeffekt, jf. motpost under kap. 5440, post 80. </w:t>
      </w:r>
    </w:p>
    <w:p w:rsidR="00880768" w:rsidRDefault="00880768" w:rsidP="00880768">
      <w:r>
        <w:t>Renter av statens kapital anslås til 2 900 mill. kroner.</w:t>
      </w:r>
    </w:p>
    <w:p w:rsidR="00880768" w:rsidRDefault="00880768" w:rsidP="00880768">
      <w:pPr>
        <w:pStyle w:val="b-underpost"/>
      </w:pPr>
      <w:r>
        <w:t>Post 85 Renter på mellomregnskapet</w:t>
      </w:r>
    </w:p>
    <w:p w:rsidR="00880768" w:rsidRDefault="00880768" w:rsidP="00880768">
      <w:r>
        <w:t>På utgiftssiden oppstår det et mellomværende med staten som utgjør differansen mellom føring på kapittel/post i bevilgningsregnskapet og likviditetsbevegelser. Mellomværende omfatter differa</w:t>
      </w:r>
      <w:r>
        <w:t>n</w:t>
      </w:r>
      <w:r>
        <w:t xml:space="preserve">sen mellom kontantinnkalling og avregning fra operatør, arbeidskapital i avregning fra operatør, merverdiavgift og mellomværende med betalingsformidler med mer. </w:t>
      </w:r>
    </w:p>
    <w:p w:rsidR="00880768" w:rsidRDefault="00880768" w:rsidP="00880768">
      <w:r>
        <w:t>Som en del av statens felles eierskapsstrategi selger Equinor ASA statens petroleum sammen med sin egen. Inntekter fra salg av olje, våtgass og tørrgass vil etter kontantprinsippet normalt bli reg</w:t>
      </w:r>
      <w:r>
        <w:t>n</w:t>
      </w:r>
      <w:r>
        <w:t>skapsført i SDØE-regnskapet samme måned som Equinor mottar oppgjør for salg. På tidspunktet for rapportering til det sentrale statsregnskapet vil det som følge av dette normalt ikke være et me</w:t>
      </w:r>
      <w:r>
        <w:t>l</w:t>
      </w:r>
      <w:r>
        <w:t xml:space="preserve">lomværende på inntektssiden som inkluderes i mellomværende i kasserapporten for SDØE. </w:t>
      </w:r>
    </w:p>
    <w:p w:rsidR="00880768" w:rsidRDefault="00880768" w:rsidP="00880768">
      <w:r>
        <w:t>Det budsjetteres ikke med renter på mellomregnskapet. Dette beregnes ved årets slutt og regn</w:t>
      </w:r>
      <w:r>
        <w:t>s</w:t>
      </w:r>
      <w:r>
        <w:t>kapsføres i statsregnskapet.</w:t>
      </w:r>
    </w:p>
    <w:p w:rsidR="00880768" w:rsidRDefault="00880768" w:rsidP="00880768">
      <w:pPr>
        <w:pStyle w:val="avsnitt-tittel"/>
      </w:pPr>
      <w:r>
        <w:t xml:space="preserve"> Fullmakt til å overskride bevilgningene</w:t>
      </w:r>
    </w:p>
    <w:p w:rsidR="00880768" w:rsidRDefault="00880768" w:rsidP="00880768">
      <w:r>
        <w:t>I henhold til samarbeidsavtalene for de fleste av utvinningstillatelsene på norsk sokkel, har staten en forkjøpsrett som kan utøves dersom det inngås en avtale om overdragelse av deltakerinteresser i tillatelsen. Staten kan overta andelen til den pris og de vilkår som er avtalt mellom partene. Fo</w:t>
      </w:r>
      <w:r>
        <w:t>r</w:t>
      </w:r>
      <w:r>
        <w:t>kjøpsretten gjelder både der SDØE har deltakerandeler og i utvinningstillatelser uten statlig delt</w:t>
      </w:r>
      <w:r>
        <w:t>a</w:t>
      </w:r>
      <w:r>
        <w:t>kelse. Frist for utøvelse av forkjøpsretten er normalt innen 40 dager etter at departementet er u</w:t>
      </w:r>
      <w:r>
        <w:t>n</w:t>
      </w:r>
      <w:r>
        <w:t>derrettet om overdragelsen. På bakgrunn av den korte fristen foreslås det en fullmakt til at Kongen kan overskride bevilgningene under kap. 2440/5440 Statens direkte økonomiske engasjement i petroleumsvirksomheten med inntil 5 mrd. kroner ved utøvelse av statens forkjøpsrett ved ove</w:t>
      </w:r>
      <w:r>
        <w:t>r</w:t>
      </w:r>
      <w:r>
        <w:t xml:space="preserve">dragelser av andeler i utvinningstillatelser på norsk kontinentalsokkel, jf. forslag til vedtak III. </w:t>
      </w:r>
    </w:p>
    <w:p w:rsidR="00880768" w:rsidRDefault="00880768" w:rsidP="00880768">
      <w:pPr>
        <w:pStyle w:val="avsnitt-tittel"/>
      </w:pPr>
      <w:r>
        <w:t>Fullmakt til å utgiftsføre uten bevilgning</w:t>
      </w:r>
    </w:p>
    <w:p w:rsidR="00880768" w:rsidRDefault="00880768" w:rsidP="00880768">
      <w:r>
        <w:t>Norpipe Oil AS eier og driver oljerørledningen fra Ekofisk til Teesside. Staten eier 5 prosent av aksjene i Norpipe Oil AS. Selskapets aksjonærer har gjennom aksjonæravtalen for Norpipe Oil AS en finansieringsplikt på inntil 500 mill. kroner dersom det skulle bli nødvendig å ta opp lån for å sikre vedlikehold, utvidelser og drift av anlegget. Det foreslås en fullmakt til at Olje- og energid</w:t>
      </w:r>
      <w:r>
        <w:t>e</w:t>
      </w:r>
      <w:r>
        <w:lastRenderedPageBreak/>
        <w:t xml:space="preserve">partementet ved behov kan utgiftsføre uten bevilgning under kap. 2440 Statens direkte økonomiske engasjement i petroleumsvirksomheten, post 90 Lån til Norpipe Oil AS, inntil 25 mill. kroner i lån til Norpipe Oil AS for å dekke kapitalbehov som ikke kan dekkes over driften i selskapet eller på annen måte, jf. forslag til vedtak IV. Olje- og energidepartementet vil komme tilbake til Stortinget med bevilgningsforslag hvis det skulle bli aktuelt å trekke på lånerammen. </w:t>
      </w:r>
    </w:p>
    <w:p w:rsidR="00880768" w:rsidRDefault="00880768" w:rsidP="00880768">
      <w:pPr>
        <w:pStyle w:val="avsnitt-tittel"/>
      </w:pPr>
      <w:r>
        <w:t>Fullmakt til å pådra staten forpliktelser</w:t>
      </w:r>
    </w:p>
    <w:p w:rsidR="00880768" w:rsidRDefault="00880768" w:rsidP="00880768">
      <w:r>
        <w:t>Det foreslås en fullmakt til å pådra staten forpliktelser utover bevilgningene under kap. 2440/5440 Statens direkte økonomiske engasjement i petroleumsvirksomheten knyttet til løpende forretning</w:t>
      </w:r>
      <w:r>
        <w:t>s</w:t>
      </w:r>
      <w:r>
        <w:t xml:space="preserve">virksomhet i interessentskapene, samt deltakelse i annen virksomhet som har tilknytning til leting og utvinning av petroleum og avsetning av statens petroleum etter avsetningsinstruksen gitt Equinor ASA, jf. forslag til vedtak VII. </w:t>
      </w:r>
    </w:p>
    <w:p w:rsidR="00880768" w:rsidRDefault="00880768" w:rsidP="00880768">
      <w:r>
        <w:t>Det foreslås en fullmakt til å pådra staten forpliktelser utover bevilgningene under kap. 2440/5440 Statens direkte økonomiske engasjement i petroleumsvirksomheten hvor øvre grense for statens forholdsmessige andel av investeringene i det enkelte prosjekt/fase utgjør inntil 5 mrd. kroner knyttet til deltakelse i utbyggingsprosjekter (planer for utbygging/anlegg og drift) på norsk kont</w:t>
      </w:r>
      <w:r>
        <w:t>i</w:t>
      </w:r>
      <w:r>
        <w:t xml:space="preserve">nentalsokkel og utviklingsprosjekter under Gassled eller andre interessentskap, jf. forslag til vedtak VIII. </w:t>
      </w:r>
    </w:p>
    <w:p w:rsidR="00880768" w:rsidRDefault="00880768" w:rsidP="00880768">
      <w:r>
        <w:t>Det foreslås en fullmakt til å pådra staten forpliktelser utover bevilgningene under kap. 2440/5440 Statens direkte økonomiske engasjement i petroleumsvirksomheten i forbindelse med kontrakt</w:t>
      </w:r>
      <w:r>
        <w:t>s</w:t>
      </w:r>
      <w:r>
        <w:t xml:space="preserve">messige forpliktelser i fasen før plan for utbygging og drift er godkjent eller før tillatelse til anlegg og drift er gitt, herunder forpliktelser knyttet til pre-interessentskapsfasen, jf. forslag til vedtak IX. </w:t>
      </w:r>
    </w:p>
    <w:p w:rsidR="00880768" w:rsidRDefault="00880768" w:rsidP="00880768">
      <w:pPr>
        <w:pStyle w:val="avsnitt-tittel"/>
      </w:pPr>
      <w:r>
        <w:t>Andre fullmakter</w:t>
      </w:r>
    </w:p>
    <w:p w:rsidR="00880768" w:rsidRDefault="00880768" w:rsidP="00880768">
      <w:r>
        <w:t>Det foreslås en fullmakt til at Olje- og energidepartementet kan godkjenne overføring av eie</w:t>
      </w:r>
      <w:r>
        <w:t>n</w:t>
      </w:r>
      <w:r>
        <w:t>domsrett fra en rettighetshavergruppe hvor Petoro AS som forvalter av SDØE er en av rettighet</w:t>
      </w:r>
      <w:r>
        <w:t>s</w:t>
      </w:r>
      <w:r>
        <w:t>haverne, til en annen rettighetshavergruppe mot bruksrett, jf. forslag til vedtak X. Denne fullma</w:t>
      </w:r>
      <w:r>
        <w:t>k</w:t>
      </w:r>
      <w:r>
        <w:t xml:space="preserve">ten vil gjelde prosjekter hvor Olje- og energidepartementet har fullmakt til å godkjenne plan for utbygging/anlegg og drift, samt ved mindre endringer for prosjekter hvor plan for utbygging/anlegg og drift allerede er godkjent. Fullmakten gis under forutsetning av at overføring av eiendomsrett ikke har prinsipielle eller samfunnsmessige sider av betydning. </w:t>
      </w:r>
    </w:p>
    <w:p w:rsidR="00880768" w:rsidRDefault="00880768" w:rsidP="00880768">
      <w:r>
        <w:t>Det foreslås en fullmakt til at Olje- og energidepartementet kan godkjenne overdragelse (salg, kjøp eller bytte) av deltakerandeler for Petoro AS som forvalter av SDØE der det antas at ressursene (ressursklasse 1-8) i deltakerandelene som overdras på tidspunkt for overdragelsen er mindre enn 3 mill. Sm</w:t>
      </w:r>
      <w:r>
        <w:rPr>
          <w:rStyle w:val="skrift-hevet"/>
          <w:spacing w:val="-2"/>
          <w:sz w:val="21"/>
          <w:szCs w:val="21"/>
        </w:rPr>
        <w:t>3</w:t>
      </w:r>
      <w:r>
        <w:t xml:space="preserve"> oljeekvivalenter, jf. forslag til vedtak XI. </w:t>
      </w:r>
    </w:p>
    <w:p w:rsidR="00880768" w:rsidRDefault="00880768" w:rsidP="00880768">
      <w:r>
        <w:t>Det foreslås en fullmakt til at Olje- og energidepartementet kan godkjenne at Petoro AS som ivar</w:t>
      </w:r>
      <w:r>
        <w:t>e</w:t>
      </w:r>
      <w:r>
        <w:t xml:space="preserve">taker av SDØE deltar i overdragelse eller samordning av andeler i utvinningstillatelser, jf. forslag til vedtak XII. Fullmakten bidrar til at Petoro AS kan delta i transaksjoner som del av den normale kommersielle virksomheten på sokkelen. </w:t>
      </w:r>
    </w:p>
    <w:p w:rsidR="00880768" w:rsidRDefault="00880768" w:rsidP="00880768">
      <w:r>
        <w:t>Det foreslås en fullmakt til at Olje- og energidepartementet kan godkjenne nødvendige transaksj</w:t>
      </w:r>
      <w:r>
        <w:t>o</w:t>
      </w:r>
      <w:r>
        <w:t>ner for overdragelse av andeler for Petoro AS som forvalter av SDØE for å innlemme rørledninger og transportrelaterte anlegg med SDØE-andel i Gassled eller andre interessentskap, jf. forslag til vedtak XIII. Statens andel i Gassled eller andre interessentskap skal justeres for å gjenspeile in</w:t>
      </w:r>
      <w:r>
        <w:t>n</w:t>
      </w:r>
      <w:r>
        <w:t>lemmelsen.</w:t>
      </w:r>
    </w:p>
    <w:p w:rsidR="00880768" w:rsidRDefault="00880768" w:rsidP="00880768">
      <w:pPr>
        <w:rPr>
          <w:rStyle w:val="kursiv"/>
          <w:sz w:val="21"/>
          <w:szCs w:val="21"/>
        </w:rPr>
      </w:pPr>
      <w:r>
        <w:t>Det foreslås en fullmakt til at Olje- og energidepartementet kan godkjenne utbyggingsprosjekter på norsk kontinentalsokkel, jf. forslag til vedtak XIV.</w:t>
      </w:r>
    </w:p>
    <w:p w:rsidR="00880768" w:rsidRDefault="00880768" w:rsidP="00880768">
      <w:pPr>
        <w:rPr>
          <w:b/>
          <w:bCs/>
        </w:rPr>
      </w:pPr>
      <w:r>
        <w:lastRenderedPageBreak/>
        <w:t>Olje- og energidepartementet vil rapportere til Stortinget på eventuell bruk av andre fullmakter, vanligvis i departementets proposisjon om endringer i statsbudsjettet for inneværende år.</w:t>
      </w:r>
    </w:p>
    <w:p w:rsidR="00880768" w:rsidRDefault="00880768" w:rsidP="00880768">
      <w:pPr>
        <w:pStyle w:val="b-budkaptit"/>
      </w:pPr>
      <w:r>
        <w:t>Kap. 5685 Aksjer i Equinor ASA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880768" w:rsidTr="009643E5">
        <w:trPr>
          <w:trHeight w:val="640"/>
        </w:trPr>
        <w:tc>
          <w:tcPr>
            <w:tcW w:w="1140" w:type="dxa"/>
            <w:shd w:val="clear" w:color="auto" w:fill="FFFFFF"/>
          </w:tcPr>
          <w:p w:rsidR="00880768" w:rsidRDefault="00880768" w:rsidP="009643E5">
            <w:pPr>
              <w:pStyle w:val="Tabellnavn"/>
            </w:pPr>
            <w:r>
              <w:t>KPAL</w:t>
            </w:r>
          </w:p>
        </w:tc>
        <w:tc>
          <w:tcPr>
            <w:tcW w:w="4560" w:type="dxa"/>
          </w:tcPr>
          <w:p w:rsidR="00880768" w:rsidRDefault="00880768" w:rsidP="009643E5">
            <w:pPr>
              <w:pStyle w:val="Tabellnavn"/>
            </w:pPr>
          </w:p>
        </w:tc>
        <w:tc>
          <w:tcPr>
            <w:tcW w:w="1140" w:type="dxa"/>
          </w:tcPr>
          <w:p w:rsidR="00880768" w:rsidRDefault="00880768" w:rsidP="009643E5">
            <w:pPr>
              <w:pStyle w:val="Tabellnavn"/>
              <w:jc w:val="right"/>
            </w:pPr>
          </w:p>
        </w:tc>
        <w:tc>
          <w:tcPr>
            <w:tcW w:w="1140" w:type="dxa"/>
          </w:tcPr>
          <w:p w:rsidR="00880768" w:rsidRDefault="00880768" w:rsidP="009643E5">
            <w:pPr>
              <w:pStyle w:val="Tabellnavn"/>
              <w:jc w:val="right"/>
            </w:pPr>
          </w:p>
        </w:tc>
        <w:tc>
          <w:tcPr>
            <w:tcW w:w="1140" w:type="dxa"/>
          </w:tcPr>
          <w:p w:rsidR="00880768" w:rsidRDefault="00880768" w:rsidP="009643E5">
            <w:pPr>
              <w:jc w:val="right"/>
            </w:pPr>
            <w:r>
              <w:t>(i 1 000 kr)</w:t>
            </w:r>
          </w:p>
        </w:tc>
      </w:tr>
      <w:tr w:rsidR="00880768" w:rsidTr="009643E5">
        <w:trPr>
          <w:trHeight w:val="600"/>
        </w:trPr>
        <w:tc>
          <w:tcPr>
            <w:tcW w:w="1140" w:type="dxa"/>
          </w:tcPr>
          <w:p w:rsidR="00880768" w:rsidRDefault="00880768" w:rsidP="009643E5">
            <w:r>
              <w:t>Post</w:t>
            </w:r>
          </w:p>
        </w:tc>
        <w:tc>
          <w:tcPr>
            <w:tcW w:w="4560" w:type="dxa"/>
          </w:tcPr>
          <w:p w:rsidR="00880768" w:rsidRDefault="00880768" w:rsidP="009643E5">
            <w:r>
              <w:t>Betegnelse</w:t>
            </w:r>
          </w:p>
        </w:tc>
        <w:tc>
          <w:tcPr>
            <w:tcW w:w="1140" w:type="dxa"/>
          </w:tcPr>
          <w:p w:rsidR="00880768" w:rsidRDefault="00880768" w:rsidP="009643E5">
            <w:pPr>
              <w:jc w:val="right"/>
            </w:pPr>
            <w:r>
              <w:t>Reg</w:t>
            </w:r>
            <w:r>
              <w:t>n</w:t>
            </w:r>
            <w:r>
              <w:t>skap 2017</w:t>
            </w:r>
          </w:p>
        </w:tc>
        <w:tc>
          <w:tcPr>
            <w:tcW w:w="1140" w:type="dxa"/>
          </w:tcPr>
          <w:p w:rsidR="00880768" w:rsidRDefault="00880768" w:rsidP="009643E5">
            <w:pPr>
              <w:jc w:val="right"/>
            </w:pPr>
            <w:r>
              <w:t xml:space="preserve">Saldert </w:t>
            </w:r>
            <w:r>
              <w:rPr>
                <w:sz w:val="22"/>
              </w:rPr>
              <w:br/>
            </w:r>
            <w:r>
              <w:t>budsjett 2018</w:t>
            </w:r>
          </w:p>
        </w:tc>
        <w:tc>
          <w:tcPr>
            <w:tcW w:w="1140" w:type="dxa"/>
          </w:tcPr>
          <w:p w:rsidR="00880768" w:rsidRDefault="00880768" w:rsidP="009643E5">
            <w:pPr>
              <w:jc w:val="right"/>
            </w:pPr>
            <w:r>
              <w:t xml:space="preserve">Forslag </w:t>
            </w:r>
            <w:r>
              <w:rPr>
                <w:sz w:val="22"/>
              </w:rPr>
              <w:br/>
            </w:r>
            <w:r>
              <w:t>2019</w:t>
            </w:r>
          </w:p>
        </w:tc>
      </w:tr>
      <w:tr w:rsidR="00880768" w:rsidTr="009643E5">
        <w:trPr>
          <w:trHeight w:val="380"/>
        </w:trPr>
        <w:tc>
          <w:tcPr>
            <w:tcW w:w="1140" w:type="dxa"/>
          </w:tcPr>
          <w:p w:rsidR="00880768" w:rsidRDefault="00880768" w:rsidP="009643E5">
            <w:r>
              <w:t>85</w:t>
            </w:r>
          </w:p>
        </w:tc>
        <w:tc>
          <w:tcPr>
            <w:tcW w:w="4560" w:type="dxa"/>
          </w:tcPr>
          <w:p w:rsidR="00880768" w:rsidRDefault="00880768" w:rsidP="009643E5">
            <w:r>
              <w:t xml:space="preserve">Utbytte </w:t>
            </w:r>
          </w:p>
        </w:tc>
        <w:tc>
          <w:tcPr>
            <w:tcW w:w="1140" w:type="dxa"/>
          </w:tcPr>
          <w:p w:rsidR="00880768" w:rsidRDefault="00880768" w:rsidP="009643E5">
            <w:pPr>
              <w:jc w:val="right"/>
            </w:pPr>
            <w:r>
              <w:t>8 397 820</w:t>
            </w:r>
          </w:p>
        </w:tc>
        <w:tc>
          <w:tcPr>
            <w:tcW w:w="1140" w:type="dxa"/>
          </w:tcPr>
          <w:p w:rsidR="00880768" w:rsidRDefault="00880768" w:rsidP="009643E5">
            <w:pPr>
              <w:jc w:val="right"/>
            </w:pPr>
            <w:r>
              <w:t>14 544 000</w:t>
            </w:r>
          </w:p>
        </w:tc>
        <w:tc>
          <w:tcPr>
            <w:tcW w:w="1140" w:type="dxa"/>
          </w:tcPr>
          <w:p w:rsidR="00880768" w:rsidRDefault="00880768" w:rsidP="009643E5">
            <w:pPr>
              <w:jc w:val="right"/>
            </w:pPr>
            <w:r>
              <w:t>16 620 000</w:t>
            </w:r>
          </w:p>
        </w:tc>
      </w:tr>
      <w:tr w:rsidR="00880768" w:rsidTr="009643E5">
        <w:trPr>
          <w:trHeight w:val="380"/>
        </w:trPr>
        <w:tc>
          <w:tcPr>
            <w:tcW w:w="1140" w:type="dxa"/>
          </w:tcPr>
          <w:p w:rsidR="00880768" w:rsidRDefault="00880768" w:rsidP="009643E5"/>
        </w:tc>
        <w:tc>
          <w:tcPr>
            <w:tcW w:w="4560" w:type="dxa"/>
          </w:tcPr>
          <w:p w:rsidR="00880768" w:rsidRDefault="00880768" w:rsidP="009643E5">
            <w:r>
              <w:t>Sum kap. 5685</w:t>
            </w:r>
          </w:p>
        </w:tc>
        <w:tc>
          <w:tcPr>
            <w:tcW w:w="1140" w:type="dxa"/>
          </w:tcPr>
          <w:p w:rsidR="00880768" w:rsidRDefault="00880768" w:rsidP="009643E5">
            <w:pPr>
              <w:jc w:val="right"/>
            </w:pPr>
            <w:r>
              <w:t>8 397 820</w:t>
            </w:r>
          </w:p>
        </w:tc>
        <w:tc>
          <w:tcPr>
            <w:tcW w:w="1140" w:type="dxa"/>
          </w:tcPr>
          <w:p w:rsidR="00880768" w:rsidRDefault="00880768" w:rsidP="009643E5">
            <w:pPr>
              <w:jc w:val="right"/>
            </w:pPr>
            <w:r>
              <w:t>14 544 000</w:t>
            </w:r>
          </w:p>
        </w:tc>
        <w:tc>
          <w:tcPr>
            <w:tcW w:w="1140" w:type="dxa"/>
          </w:tcPr>
          <w:p w:rsidR="00880768" w:rsidRDefault="00880768" w:rsidP="009643E5">
            <w:pPr>
              <w:jc w:val="right"/>
            </w:pPr>
            <w:r>
              <w:t>16 620 000</w:t>
            </w:r>
          </w:p>
        </w:tc>
      </w:tr>
    </w:tbl>
    <w:p w:rsidR="00880768" w:rsidRDefault="00880768" w:rsidP="00880768">
      <w:pPr>
        <w:pStyle w:val="b-post"/>
      </w:pPr>
      <w:r>
        <w:t>Post 85 Utbytte</w:t>
      </w:r>
    </w:p>
    <w:p w:rsidR="00880768" w:rsidRDefault="00880768" w:rsidP="00880768">
      <w:r>
        <w:t xml:space="preserve">Staten eier 67 prosent av aksjene i Equinor ASA. Styret i Equinor ASA vedtar utbytte for første, andre og tredje kvartal basert på fullmakt fra generalforsamlingen. Utbytte for fjerde kvartal (og for året totalt) vedtas av generalforsamlingen basert på styrets anbefaling. Utbetalingen av utbytte skjer om lag fire måneder etter at utbytte annonseres i forbindelse med framleggelsen av selskapets kvartalsresultater. Statens utbytte fra Equinor inngår i inntektene fra petroleumsvirksomheten til Statens pensjonsfond utland. </w:t>
      </w:r>
    </w:p>
    <w:p w:rsidR="00880768" w:rsidRDefault="00880768" w:rsidP="00880768">
      <w:r>
        <w:t>Equinor har utbetalt et utbytte på 1,8575 kroner per aksje for fjerde kvartal 2017. For budsjettfo</w:t>
      </w:r>
      <w:r>
        <w:t>r</w:t>
      </w:r>
      <w:r>
        <w:t>mål legges det til grunn et tilsvarende utbytte per aksje for kvartalene som utbetales i 2019. Det foreslås på denne bakgrunn å legge til grunn et samlet utbytte på 16 620 mill. kroner i 2019.</w:t>
      </w:r>
    </w:p>
    <w:p w:rsidR="00880768" w:rsidRDefault="00880768" w:rsidP="00880768">
      <w:pPr>
        <w:pStyle w:val="b-progkat"/>
      </w:pPr>
      <w:r>
        <w:t>Programkategori 18.20 Energi og vannressurser</w:t>
      </w:r>
    </w:p>
    <w:p w:rsidR="00880768" w:rsidRDefault="00880768" w:rsidP="00880768">
      <w:pPr>
        <w:pStyle w:val="Undertittel"/>
      </w:pPr>
      <w:r>
        <w:t>Utviklingstrekk</w:t>
      </w:r>
    </w:p>
    <w:p w:rsidR="00880768" w:rsidRDefault="00880768" w:rsidP="00880768">
      <w:r>
        <w:t xml:space="preserve">Energisystemet er en sentral del av norsk økonomi, og en forutsetning for verdiskaping og aktivitet i de fleste samfunnssektorer. Alle viktige samfunnsfunksjoner er i dag avhengige av en sikker energiforsyning. </w:t>
      </w:r>
    </w:p>
    <w:p w:rsidR="00880768" w:rsidRDefault="00880768" w:rsidP="00880768">
      <w:r>
        <w:t xml:space="preserve">Norge har store energiressurser og god tilgang på fornybar energi. Den store andelen fornybar energi gir lave utslipp av klimagasser fra den norske energiforsyningen. Vår elektrisitetsproduksjon er basert på vannkraft, og etter hvert også vindkraft. Norges </w:t>
      </w:r>
      <w:proofErr w:type="gramStart"/>
      <w:r>
        <w:t>utgangspunktet</w:t>
      </w:r>
      <w:proofErr w:type="gramEnd"/>
      <w:r>
        <w:t xml:space="preserve"> er derfor annerledes enn i land hvor kull- og kjernekraft må erstattes med fornybar energi. </w:t>
      </w:r>
    </w:p>
    <w:p w:rsidR="00880768" w:rsidRDefault="00880768" w:rsidP="00880768">
      <w:r>
        <w:t>Den norske energiforsyningen vil påvirkes av flere forhold i årene fremover. Energimarkedene i landene omkring oss er i endring, og utviklingen av energipolitikken i EU har økende betydning for energisektoren i Norge. Samtidig preges teknologiutviklingen på energiområdet av fallende kos</w:t>
      </w:r>
      <w:r>
        <w:t>t</w:t>
      </w:r>
      <w:r>
        <w:t>nader for fornybare energiteknologier og økt bruk av IKT. Norge har et godt utgangspunkt i møte med endringene på energiområdet. Vi både bruker og produserer energi på flere måter enn for få år siden.</w:t>
      </w:r>
    </w:p>
    <w:p w:rsidR="00880768" w:rsidRDefault="00880768" w:rsidP="00880768">
      <w:r>
        <w:t xml:space="preserve">Norge har i dag et overskudd på kraft i år med normale nedbørsforhold. Norsk kraftforsyning har de siste årene vært preget av mer nedbør enn normalt, og høye nivåer på kraftproduksjonen. Våren og sommeren 2018 ble derimot en periode med langt mindre nedbør og tilsig til vannkraftsystemet </w:t>
      </w:r>
      <w:r>
        <w:lastRenderedPageBreak/>
        <w:t>enn normalt. Tørt og varmt vær bidro også til økt vannfordamping. Ved inngangen til høsten er fyllingsgraden i norske kraftmagasinene under normalt nivå for årstiden. Norge har i dag ute</w:t>
      </w:r>
      <w:r>
        <w:t>n</w:t>
      </w:r>
      <w:r>
        <w:t>landsforbindelser til Sverige, Danmark, Nederland, Finland og Russland. Tilgangen på utvek</w:t>
      </w:r>
      <w:r>
        <w:t>s</w:t>
      </w:r>
      <w:r>
        <w:t xml:space="preserve">lingskapasitet fra andre lands kraftsystemer bidrar til å dempe utslagene av varierende værforhold. </w:t>
      </w:r>
    </w:p>
    <w:p w:rsidR="00880768" w:rsidRDefault="00880768" w:rsidP="00880768">
      <w:r>
        <w:t>Norge er nå inne i en periode med stor utbygging av fornybar kraftproduksjon. Ved inngangen til annet halvår 2018 er over 9 TWh ny kraftproduksjon under bygging. Vindkraft utgjør størstedelen av dette, og det ligger an til en tredobling av produksjonskapasiteten i vindkraft de nærmeste årene. Samtidig investeres det i både nye og gamle vannkraftverk.</w:t>
      </w:r>
    </w:p>
    <w:p w:rsidR="00880768" w:rsidRDefault="00880768" w:rsidP="00880768">
      <w:r>
        <w:t>Regjeringen ønsker fortsatt utbygging av lønnsom fornybar kraftproduksjon. Det skal legges opp til en forsvarlig utnyttelse av det gjenværende potensialet for ny vannkraft. Reguleringsevne og fle</w:t>
      </w:r>
      <w:r>
        <w:t>k</w:t>
      </w:r>
      <w:r>
        <w:t>sibilitet skal vektlegges. Regjeringen vil også legge til rette for en utvikling av lønnsom vindkraft og vil etablere en nasjonal ramme for vindkraft på land. Arbeidet med nasjonal ramme vil gi et bedre kunnskapsgrunnlag for utvikling av vindkraft, mer styring med hvor det søkes konsesjon og bidra til at de beste vindkraftlokalitetene blir valgt.</w:t>
      </w:r>
    </w:p>
    <w:p w:rsidR="00880768" w:rsidRDefault="00880768" w:rsidP="00880768">
      <w:r>
        <w:t xml:space="preserve">Regjeringen tar sikte på å åpne ett eller to områder for fornybar energiproduksjon til havs, og vil legge til rette for demonstrasjonsprosjekter for flytende vindkraft. Strategien for flytende vindkraft som ble lagt fram høsten 2017 er rettet mot at norsk industri og norske kompetansemiljøer skal gripe de industrielle mulighetene knyttet til utvikling av vindkraft til havs. </w:t>
      </w:r>
    </w:p>
    <w:p w:rsidR="00880768" w:rsidRDefault="00880768" w:rsidP="00880768">
      <w:r>
        <w:t>Driftssikkerheten i kraftnettet i Norge er god og har hatt en positiv utvikling over flere år. Større innfasing av uregulerbar fornybar energi, både i Norge og i nabolandene våre, stiller økte krav til kraftsystemet. Et godt fungerende kraftmarked er avgjørende for forsyningssikkerheten for strøm. Samtidig må aktører som er helt avhengig av en uavbrutt strømforsyning selv ta ansvar for ti</w:t>
      </w:r>
      <w:r>
        <w:t>l</w:t>
      </w:r>
      <w:r>
        <w:t xml:space="preserve">strekkelig egenberedskap. </w:t>
      </w:r>
    </w:p>
    <w:p w:rsidR="00880768" w:rsidRDefault="00880768" w:rsidP="00880768">
      <w:r>
        <w:t>Det gjøres store investeringer i det norske strømnettet. For perioden 2018–2022 har Statnett anslått et investeringsomfang på om lag 40 mrd. kroner i transmisjonsnettet.</w:t>
      </w:r>
    </w:p>
    <w:p w:rsidR="00880768" w:rsidRDefault="00880768" w:rsidP="00880768">
      <w:r>
        <w:t>Det er behov for å gjennomføre tiltak for å bedre forsyningssikkerheten i enkelte deler av landet og for å tilrettelegge for nytt forbruk, ny fornybar kraftproduksjon og økt kraftutveksling med utla</w:t>
      </w:r>
      <w:r>
        <w:t>n</w:t>
      </w:r>
      <w:r>
        <w:t>det. I tillegg er store deler av nettet gammelt, og flere anlegg nærmer seg slutten av teknisk levetid. Også på lavere nettnivåer står vi overfor et betydelig investeringsbehov. Nye teknologiske løsnin</w:t>
      </w:r>
      <w:r>
        <w:t>g</w:t>
      </w:r>
      <w:r>
        <w:t>er og bruk av smarte styringssystemer vil kunne bidra til å styrke forsyningssikkerheten i årene fremover.</w:t>
      </w:r>
    </w:p>
    <w:p w:rsidR="00880768" w:rsidRDefault="00880768" w:rsidP="00880768">
      <w:r>
        <w:t xml:space="preserve">Investeringene i strømnettet finansieres i hovedsak gjennom nettariffene. Tariffene utformes med sikte på samfunnsøkonomisk effektiv ressursutnyttelse. Det høye investeringsnivået aktualiserer oppmerksomhet om kostnadseffektivitet i nettsektoren. </w:t>
      </w:r>
    </w:p>
    <w:p w:rsidR="00880768" w:rsidRDefault="00880768" w:rsidP="00880768">
      <w:r>
        <w:t xml:space="preserve">To nye utenlandsforbindelser, én til Tyskland og én til Storbritannia, skal etter planen ferdigstilles i 2019 og 2021. Det står sentralt i departementets vurderinger av utenlandsforbindelser at de skal etableres i den grad de er samfunnsøkonomisk lønnsomme. </w:t>
      </w:r>
    </w:p>
    <w:p w:rsidR="00880768" w:rsidRDefault="00880768" w:rsidP="00880768">
      <w:r>
        <w:t>Tilgangen på relativt billig vannkraft har formet den norske energibruken. Norge har en stor kraf</w:t>
      </w:r>
      <w:r>
        <w:t>t</w:t>
      </w:r>
      <w:r>
        <w:t>intensiv industri, elektrisitet blir i mye større grad enn i andre land benyttet til oppvarming og vi er i ferd med å utvikle en transportsektor der elektrisitet spiller en stadig viktigere rolle. Norges fo</w:t>
      </w:r>
      <w:r>
        <w:t>r</w:t>
      </w:r>
      <w:r>
        <w:t>nybarandel var nærmere 70 prosent i 2017.</w:t>
      </w:r>
    </w:p>
    <w:p w:rsidR="00880768" w:rsidRDefault="00880768" w:rsidP="00880768">
      <w:r>
        <w:t>Utviklingen i energibruken påvirkes av langsiktige utviklingstrekk i samfunnet som økonomisk vekst, utvikling av mer energieffektiv teknologi, endret bosettingsmønster og endringer i næring</w:t>
      </w:r>
      <w:r>
        <w:t>s</w:t>
      </w:r>
      <w:r>
        <w:t>struktur. Videre vil skatter, avgifter og direkte reguleringer på energi-, miljø- og klimaområdet p</w:t>
      </w:r>
      <w:r>
        <w:t>å</w:t>
      </w:r>
      <w:r>
        <w:t>virke hvordan vi bruker energi. I tillegg svinger energibruken mellom år på grunn av temperaturv</w:t>
      </w:r>
      <w:r>
        <w:t>a</w:t>
      </w:r>
      <w:r>
        <w:t>riasjoner.</w:t>
      </w:r>
    </w:p>
    <w:p w:rsidR="00880768" w:rsidRDefault="00880768" w:rsidP="00880768">
      <w:r>
        <w:lastRenderedPageBreak/>
        <w:t>Stortinget samtykket våren 2018 til at EUs tredje energimarkedspakke innlemmes i EØS-avtalen, jf. Prop. 4 S (2017–2018) og Innst. 178 S (2017–2018). Som en del av gjennomføringen av pakken, skal det etableres en uavhengig reguleringsmyndighet for energi. Norges vassdrags- og energid</w:t>
      </w:r>
      <w:r>
        <w:t>i</w:t>
      </w:r>
      <w:r>
        <w:t xml:space="preserve">rektorat (NVE) vil fortsette å være reguleringsmyndighet, men funksjonen samles i en egen enhet, reguleringsmyndigheten for energi (RME). RME skal blant annet holde oppsyn med de nasjonale markedene og aktørene og delta aktivt i regionalt og europeisk regulatorsamarbeid. </w:t>
      </w:r>
    </w:p>
    <w:p w:rsidR="00880768" w:rsidRDefault="00880768" w:rsidP="00880768">
      <w:r>
        <w:t>Det tas sikte på å etablere en uavhengig klageinstans (Energiklagenemnda) for enkeltvedtak fattet av RME samtidig med etableringen av RME. Det legges opp til at sekretariatsfunksjonen til ene</w:t>
      </w:r>
      <w:r>
        <w:t>r</w:t>
      </w:r>
      <w:r>
        <w:t xml:space="preserve">giklagenemnda samordnes med Klagenemndssekretariatet (KNSE), som er opprettet av Nærings- og fiskeridepartementet i Bergen. </w:t>
      </w:r>
    </w:p>
    <w:p w:rsidR="00880768" w:rsidRDefault="00880768" w:rsidP="00880768">
      <w:r>
        <w:t>Norge har store vannressurser og verdifull vassdragsnatur. Vannkraften er den viktigste økonomi</w:t>
      </w:r>
      <w:r>
        <w:t>s</w:t>
      </w:r>
      <w:r>
        <w:t>ke utnyttelsen av vannressursene. Det har stor betydning for kraftsystemet at vannkraften som er bygd ut kan opprettholdes og videreutvikles. Det skal samtidig legges til rette for miljøforbedringer i vassdrag med eksisterende vannkraftutbygging basert på gode avveininger av kostnader og nytte. I de nærmeste årene vil det bli behandlet flere saker om revisjon av vilkår i eldre vassdragsregul</w:t>
      </w:r>
      <w:r>
        <w:t>e</w:t>
      </w:r>
      <w:r>
        <w:t>ringskonsesjoner.</w:t>
      </w:r>
    </w:p>
    <w:p w:rsidR="00880768" w:rsidRDefault="00880768" w:rsidP="00880768">
      <w:r>
        <w:t xml:space="preserve">Å ivareta sikkerheten ved vassdragsanlegg er en viktig oppgave. Brudd på dammer kan ha alvorlige konsekvenser, og det er derfor viktig at NVE fører et </w:t>
      </w:r>
      <w:proofErr w:type="gramStart"/>
      <w:r>
        <w:t>effektiv</w:t>
      </w:r>
      <w:proofErr w:type="gramEnd"/>
      <w:r>
        <w:t xml:space="preserve"> tilsyn basert på gode vurderinger av risiko. Klimaendringer forsterker utfordringene knyttet til damsikkerhet. </w:t>
      </w:r>
    </w:p>
    <w:p w:rsidR="00880768" w:rsidRDefault="00880768" w:rsidP="00880768">
      <w:r>
        <w:t xml:space="preserve">Flom og skred kan medføre skader på liv og helse, eiendom, infrastruktur og miljø. Norge har de senere årene opplevd flere flom- og skredhendelser med betydelige skader. Farekartlegging har avdekket flere fareområder og økt bevisstheten i samfunnet omkring risiko. Befolkningsvekst og økonomisk vekst bidrar til at skadepotensialet er voksende. Klimaendringer vil forsterke dette. </w:t>
      </w:r>
    </w:p>
    <w:p w:rsidR="00880768" w:rsidRDefault="00880768" w:rsidP="00880768">
      <w:r>
        <w:t>NVE skal bistå kommunene med å forebygge flom- og skredskader innenfor kartlegging, area</w:t>
      </w:r>
      <w:r>
        <w:t>l</w:t>
      </w:r>
      <w:r>
        <w:t>planlegging, sikringstiltak, overvåking, varsling og beredskap. I arealplanleggingen skal NVE le</w:t>
      </w:r>
      <w:r>
        <w:t>g</w:t>
      </w:r>
      <w:r>
        <w:t>ge vekt på å veilede og gi tidlige innspill om nasjonale og viktige regionale interesser knyttet til flom- og skredfare, vassdrag og energianlegg, slik at kommunene kan ivareta sitt ansvar for disse interessene. Som høringspart skal NVE prioritere å gi innspill og uttalelser til overordnede ko</w:t>
      </w:r>
      <w:r>
        <w:t>m</w:t>
      </w:r>
      <w:r>
        <w:t xml:space="preserve">muneplaner og områdereguleringsplaner. </w:t>
      </w:r>
    </w:p>
    <w:p w:rsidR="00880768" w:rsidRDefault="00880768" w:rsidP="00880768">
      <w:r>
        <w:t>NVE skal videre bistå kommunene med å forebygge skader fra overvann gjennom kunnskap om avrenning i tettbygde strøk (urbanhydrologi) og veiledning til kommunal arealplanlegging. Dette er en utvidelse av NVEs fagområde, og det vil være nødvendig å vinne erfaringer over tid.</w:t>
      </w:r>
    </w:p>
    <w:p w:rsidR="00880768" w:rsidRDefault="00880768" w:rsidP="00880768">
      <w:r>
        <w:t>NVE må prioritere sin bistand til kommunene etter samfunnsøkonomiske kriterier slik at samfunnet får mest mulig igjen i form av redusert risiko for skader.</w:t>
      </w:r>
    </w:p>
    <w:p w:rsidR="00880768" w:rsidRDefault="00880768" w:rsidP="00880768">
      <w:pPr>
        <w:pStyle w:val="Undertittel"/>
      </w:pPr>
      <w:r>
        <w:t>Hovedmål for energi- og vannressursområdet</w:t>
      </w:r>
    </w:p>
    <w:p w:rsidR="00880768" w:rsidRDefault="00880768" w:rsidP="00880768">
      <w:r>
        <w:t xml:space="preserve">De overordnede målene på energi- og vannressursområdet er </w:t>
      </w:r>
      <w:proofErr w:type="gramStart"/>
      <w:r>
        <w:t>å</w:t>
      </w:r>
      <w:proofErr w:type="gramEnd"/>
      <w:r>
        <w:t>:</w:t>
      </w:r>
    </w:p>
    <w:p w:rsidR="00880768" w:rsidRDefault="00880768" w:rsidP="00880768">
      <w:pPr>
        <w:pStyle w:val="Liste"/>
      </w:pPr>
      <w:r>
        <w:t>legge til rette for en effektiv, sikker og miljøvennlig energiforsyning</w:t>
      </w:r>
    </w:p>
    <w:p w:rsidR="00880768" w:rsidRDefault="00880768" w:rsidP="00880768">
      <w:pPr>
        <w:pStyle w:val="Liste"/>
      </w:pPr>
      <w:r>
        <w:t xml:space="preserve">bidra til en helhetlig og miljøvennlig forvaltning av vannressursene </w:t>
      </w:r>
    </w:p>
    <w:p w:rsidR="00880768" w:rsidRDefault="00880768" w:rsidP="00880768">
      <w:pPr>
        <w:pStyle w:val="Liste"/>
      </w:pPr>
      <w:r>
        <w:t xml:space="preserve">bedre samfunnets evne til å håndtere flom- og skredrisiko </w:t>
      </w:r>
    </w:p>
    <w:p w:rsidR="00880768" w:rsidRDefault="00880768" w:rsidP="00880768">
      <w:r>
        <w:t>NVE har ansvar for å forvalte landets energi- og vannressurser, og er reguleringsmyndighet for energi. NVE har en sentral rolle i arbeidet med å forebygge flom- og skredfare, og bistår komm</w:t>
      </w:r>
      <w:r>
        <w:t>u</w:t>
      </w:r>
      <w:r>
        <w:t xml:space="preserve">nene på dette området. </w:t>
      </w:r>
    </w:p>
    <w:p w:rsidR="00880768" w:rsidRDefault="00880768" w:rsidP="00880768">
      <w:r>
        <w:t>Statnett er operatør av transmisjonsnettet (TSO) og det systemansvarlige nettselskapet i Norge. Statnett har ansvar for en samfunnsmessig rasjonell drift og utvikling av transmisjonsnettet.</w:t>
      </w:r>
    </w:p>
    <w:p w:rsidR="00880768" w:rsidRDefault="00880768" w:rsidP="00880768">
      <w:pPr>
        <w:pStyle w:val="Undertittel"/>
      </w:pPr>
      <w:r>
        <w:lastRenderedPageBreak/>
        <w:t xml:space="preserve">Olje- og energidepartementets mål og oppgaver </w:t>
      </w:r>
    </w:p>
    <w:p w:rsidR="00880768" w:rsidRDefault="00880768" w:rsidP="00880768">
      <w:r>
        <w:t xml:space="preserve">Departementet skal legge til rette for et effektivt og velfungerende kraftmarked. </w:t>
      </w:r>
    </w:p>
    <w:p w:rsidR="00880768" w:rsidRDefault="00880768" w:rsidP="00880768">
      <w:r>
        <w:t xml:space="preserve">Konsesjons- og klagebehandling av produksjons- og nettanlegg vil være en viktig oppgave også i 2019. Samordnet og effektiv konsesjonsbehandling av anlegg for overføring og produksjon av energi skal legge til rette for lønnsom produksjon av fornybar energi. Konsesjonsbehandlingen skal vektlegge samfunnsøkonomisk lønnsomhet gjennom gode avveininger av fordeler og ulemper. </w:t>
      </w:r>
    </w:p>
    <w:p w:rsidR="00880768" w:rsidRDefault="00880768" w:rsidP="00880768">
      <w:r>
        <w:t>Departementet vil i 2019 arbeide videre med forbedringer og forenklinger i konsesjonsbehandlin</w:t>
      </w:r>
      <w:r>
        <w:t>g</w:t>
      </w:r>
      <w:r>
        <w:t>en i tråd med energimeldingen og Stortingets behandling av denne. Dette gjelder blant annet arbe</w:t>
      </w:r>
      <w:r>
        <w:t>i</w:t>
      </w:r>
      <w:r>
        <w:t xml:space="preserve">det med en nasjonal ramme for vindkraft på land. </w:t>
      </w:r>
    </w:p>
    <w:p w:rsidR="00880768" w:rsidRDefault="00880768" w:rsidP="00880768">
      <w:r>
        <w:t>Departementet vil legge til rette for at det ved kongelig resolusjon kan åpnes ett eller to områder for fornybar energiproduksjon til havs. Departementet vil også utarbeide og sende på høring en fo</w:t>
      </w:r>
      <w:r>
        <w:t>r</w:t>
      </w:r>
      <w:r>
        <w:t xml:space="preserve">skrift til havenergilova. </w:t>
      </w:r>
    </w:p>
    <w:p w:rsidR="00880768" w:rsidRDefault="00880768" w:rsidP="00880768">
      <w:r>
        <w:t xml:space="preserve">Departementet vil, i samarbeid med Kommunal- og moderniseringsdepartementet, arbeide med å fjerne konsesjonsordningen for fjernvarme. </w:t>
      </w:r>
    </w:p>
    <w:p w:rsidR="00880768" w:rsidRDefault="00880768" w:rsidP="00880768">
      <w:r>
        <w:t>I dag er departementet klageinstans for enkeltvedtak som fattes av NVE. Det tas sikte på å etablere en uavhengig klageinstans (Energiklagenemnda) for enkeltvedtak fattet av RME. Klageinstansen vil blant annet behandle klager på nettselskapenes inntektsrammer, tariffer og forhold som gjelder måling og avregning. Det europeiske kraftmarkedet blir stadig tettere integrert. Departementet vil arbeide videre for at det utfyllende regelverket under den tredje energimarkedspakken, såkalte nettkoder og retningslinjer, kan gjennomføres med tilpasninger i norsk regelverk og vil følge opp relevante direktiver EU har vedtatt for energibruk og energieffektivisering.</w:t>
      </w:r>
    </w:p>
    <w:p w:rsidR="00880768" w:rsidRDefault="00880768" w:rsidP="00880768">
      <w:r>
        <w:t xml:space="preserve">Europakommisjonen la frem en rekke forslag til nye og reviderte rettsakter på energiområdet i 2016 (Clean energy package). Det ligger an til at de fleste av disse rettsaktene besluttes i EU i løpet av 2018. Departementet vil arbeide videre med vurderingen av konsekvensene og relevansen av nytt regelverk for Norge, og følge opp vedtatt regelverk i tråd med EØS-avtalen. </w:t>
      </w:r>
    </w:p>
    <w:p w:rsidR="00880768" w:rsidRDefault="00880768" w:rsidP="00880768">
      <w:r>
        <w:t xml:space="preserve">Departementet vil følge opp forvaltningen av elsertifikatsystemet i god kontakt med Miljö- och energidepartementet i Sverige. </w:t>
      </w:r>
    </w:p>
    <w:p w:rsidR="00880768" w:rsidRDefault="00880768" w:rsidP="00880768">
      <w:r>
        <w:t xml:space="preserve">Departementet vil vurdere innretningen av energimerkeordningen for bygg. </w:t>
      </w:r>
    </w:p>
    <w:p w:rsidR="00880768" w:rsidRDefault="00880768" w:rsidP="00880768">
      <w:r>
        <w:t>Departementet vil utrede systemet med opprinnelsesgarantier og varedeklarasjon nærmere.</w:t>
      </w:r>
    </w:p>
    <w:p w:rsidR="00880768" w:rsidRDefault="00880768" w:rsidP="00880768">
      <w:r>
        <w:t xml:space="preserve">Det er en prioritert oppgave for departementet å legge til rette for en sikker kraftforsyning gjennom god beredskap i kraftforsyningen. NVE er delegert viktige beredskapsoppgaver. </w:t>
      </w:r>
    </w:p>
    <w:p w:rsidR="00880768" w:rsidRDefault="00880768" w:rsidP="00880768">
      <w:r>
        <w:t xml:space="preserve">Departementet vil følge opp NVEs arbeid med å bedre samfunnets evne til å håndtere flom- og skredrisiko. </w:t>
      </w:r>
    </w:p>
    <w:p w:rsidR="00880768" w:rsidRDefault="00880768" w:rsidP="00880768">
      <w:r>
        <w:t>Det er også viktig for departementet å legge til rette for god sikkerhet ved vassdragsanlegg der svikt kan ha store konsekvenser. NVEs utøvelse av tilsyn er viktig for å oppnå en god nok sikke</w:t>
      </w:r>
      <w:r>
        <w:t>r</w:t>
      </w:r>
      <w:r>
        <w:t xml:space="preserve">het. </w:t>
      </w:r>
    </w:p>
    <w:p w:rsidR="00880768" w:rsidRDefault="00880768" w:rsidP="00880768">
      <w:r>
        <w:t>Departementet vil bidra til en helhetlig og miljøvennlig forvaltning av vannressursene. Det inn</w:t>
      </w:r>
      <w:r>
        <w:t>e</w:t>
      </w:r>
      <w:r>
        <w:t>bærer både å ivareta miljøhensyn ved ny utbygging og å legge til rette for miljøforbedring i aller</w:t>
      </w:r>
      <w:r>
        <w:t>e</w:t>
      </w:r>
      <w:r>
        <w:t xml:space="preserve">de regulerte vassdrag. Departementet vil prioritere arbeidet med revisjon av konsesjonsvilkår i 2019. </w:t>
      </w:r>
    </w:p>
    <w:p w:rsidR="00880768" w:rsidRDefault="00880768" w:rsidP="00880768">
      <w:r>
        <w:t>Departementet vil følge opp statens eierskap i Statnett SF.</w:t>
      </w:r>
    </w:p>
    <w:p w:rsidR="00880768" w:rsidRDefault="00880768" w:rsidP="00880768">
      <w:pPr>
        <w:pStyle w:val="Undertittel"/>
      </w:pPr>
      <w:r>
        <w:lastRenderedPageBreak/>
        <w:t>Olje- og energidepartementets resultatrapport for 2017</w:t>
      </w:r>
    </w:p>
    <w:p w:rsidR="00880768" w:rsidRDefault="00880768" w:rsidP="00880768">
      <w:r>
        <w:t>Departementet bidro i 2017 til effektiv og miljøvennlig forvaltning av energiressursene, en sikker kraftforsyning, et effektivt og velfungerende kraftmarked, en helhetlig og miljøvennlig forvaltning av vannressursene samt bedring av samfunnets evne til å håndtere flom- og skredrisiko. Arbeidet skjedde i et nært samarbeid med NVE, og statsforetakene Enova og Statnett.</w:t>
      </w:r>
    </w:p>
    <w:p w:rsidR="00880768" w:rsidRDefault="00880768" w:rsidP="00880768">
      <w:r>
        <w:t>Leveringskvaliteten på strøm i Norge er god, og leveringspåliteligheten i 2017 var på 99,99 pr</w:t>
      </w:r>
      <w:r>
        <w:t>o</w:t>
      </w:r>
      <w:r>
        <w:t xml:space="preserve">sent. I gjennomsnitt opplevde en strømkunde 1,7 langvarige strømbrudd i 2017. </w:t>
      </w:r>
      <w:proofErr w:type="gramStart"/>
      <w:r>
        <w:t>Hvert</w:t>
      </w:r>
      <w:proofErr w:type="gramEnd"/>
      <w:r>
        <w:t xml:space="preserve"> langvarige </w:t>
      </w:r>
      <w:proofErr w:type="gramStart"/>
      <w:r>
        <w:t>avbrudd</w:t>
      </w:r>
      <w:proofErr w:type="gramEnd"/>
      <w:r>
        <w:t xml:space="preserve"> varte i snitt i 1 time og 52 minutter.</w:t>
      </w:r>
    </w:p>
    <w:p w:rsidR="00880768" w:rsidRDefault="00880768" w:rsidP="00880768">
      <w:r>
        <w:t xml:space="preserve">Tydelige krav til beredskapsarbeid, og utstrakt tilsyns- og informasjonsvirksomhet fra NVE bidrar kontinuerlig til å sette fokus på beredskap i selskapene. </w:t>
      </w:r>
    </w:p>
    <w:p w:rsidR="00880768" w:rsidRDefault="00880768" w:rsidP="00880768">
      <w:r>
        <w:t>Ekstremværet «Ylva» satte beredskapsapparatene på prøve. Erfaringen fra slike hendelser er at nettselskapenes beredskap og gjenoppretting i hovedsak fungerte godt og at selskapene er godt forberedt.</w:t>
      </w:r>
    </w:p>
    <w:p w:rsidR="00880768" w:rsidRDefault="00880768" w:rsidP="00880768">
      <w:r>
        <w:t>Departementet har i 2017 behandlet i alt syv klagesaker knyttet til nettselskapenes inntektsrammer, rapporteringsplikt, tariffer, anleggsbidrag og installasjon av AMS.</w:t>
      </w:r>
    </w:p>
    <w:p w:rsidR="00880768" w:rsidRDefault="00880768" w:rsidP="00880768">
      <w:r>
        <w:t>Departementet har forvaltet statens eierskap i Statnett SF. Statnett er som systemansvarlig for den norske kraftforsyningen et viktig sektorpolitisk foretak med ansvar for kritisk infrastruktur. Som eier holdt departementet seg orientert om blant annet foretakets investeringsportefølje, økonomi og drift.</w:t>
      </w:r>
    </w:p>
    <w:p w:rsidR="00880768" w:rsidRDefault="00880768" w:rsidP="00880768">
      <w:r>
        <w:t xml:space="preserve">Departementet forvaltet statens eierskap i Enova SF. </w:t>
      </w:r>
    </w:p>
    <w:p w:rsidR="00880768" w:rsidRDefault="00880768" w:rsidP="00880768">
      <w:r>
        <w:t>Departementet hadde dialog med berørte parter om energimerkeordningen for bygg som underlag for videreutvikling av ordningen.</w:t>
      </w:r>
    </w:p>
    <w:p w:rsidR="00880768" w:rsidRDefault="00880768" w:rsidP="00880768">
      <w:r>
        <w:t>Departementet hadde dialog med berørte parter om ordningen med opprinnelsesgarantier og var</w:t>
      </w:r>
      <w:r>
        <w:t>e</w:t>
      </w:r>
      <w:r>
        <w:t>deklarasjon som underlag for videre utredninger.</w:t>
      </w:r>
    </w:p>
    <w:p w:rsidR="00880768" w:rsidRDefault="00880768" w:rsidP="00880768">
      <w:r>
        <w:t>Departementet har i 2017 fulgt og analysert utviklingen i de nordiske og nordeuropeiske kraftma</w:t>
      </w:r>
      <w:r>
        <w:t>r</w:t>
      </w:r>
      <w:r>
        <w:t>kedene. Departementet hadde formannskapet i Nordisk Ministerråd på energiområdet i 2017. I l</w:t>
      </w:r>
      <w:r>
        <w:t>ø</w:t>
      </w:r>
      <w:r>
        <w:t>pet av formannskapsperioden ble det utarbeidet og vedtatt et nytt nordisk energipolitisk sama</w:t>
      </w:r>
      <w:r>
        <w:t>r</w:t>
      </w:r>
      <w:r>
        <w:t xml:space="preserve">beidsprogram for perioden 2018–2021. </w:t>
      </w:r>
    </w:p>
    <w:p w:rsidR="00880768" w:rsidRDefault="00880768" w:rsidP="00880768">
      <w:r>
        <w:t>Departementet har fulgt tett prosessene for regelverksutviklingen i EU på energiområdet. Gjennom deltakelse i Grensehandelskomiteen, har departementet i 2017 bidratt i utviklingen av nettkoder og bindende retningslinjer om det indre kraftmarkedet i EU og driften av kraftsystemet. Departementet deltok i de regionale gruppene som er etablert under infrastrukturforordningen. Departementet fortsatte i 2017 arbeidet med å vurdere EU-kommisjonens siste pakke med forslag til nytt og rev</w:t>
      </w:r>
      <w:r>
        <w:t>i</w:t>
      </w:r>
      <w:r>
        <w:t xml:space="preserve">dert regelverk, «Clean Energy for All Europeans» (vinterpakken). </w:t>
      </w:r>
    </w:p>
    <w:p w:rsidR="00880768" w:rsidRDefault="00880768" w:rsidP="00880768">
      <w:r>
        <w:t xml:space="preserve">I 2017 arbeidet departementet videre med gjennomføring av tredje energimarkedspakke. Høsten 2017 fremmet regjeringen proposisjoner om Stortingets samtykke til å innlemme pakken i EØS-avtalen samt nødvendige endringer i energiloven og naturgassloven. Departementet arbeidet også med nødvendige tilpasninger og forberedelse til innlemmelse av bygningsenergidirektivet og energieffektiviseringsdirektivet. </w:t>
      </w:r>
    </w:p>
    <w:p w:rsidR="00880768" w:rsidRDefault="00880768" w:rsidP="00880768">
      <w:r>
        <w:t>Departementet har fulgt med på og analysert utviklingen i elsertifikatmarkedet. I 2017 fullførte departementet den andre kontrollstasjonen for elsertifikatordningen, jf. Prop. 95 L (2016–2017). På bakgrunn av samtaler med svenske myndigheter ble det våren 2017 inngått en endringsavtale me</w:t>
      </w:r>
      <w:r>
        <w:t>l</w:t>
      </w:r>
      <w:r>
        <w:t xml:space="preserve">lom Norge og Sverige som la til rette for at Sverige kunne forlenge det felles elsertifikatsystemet. </w:t>
      </w:r>
    </w:p>
    <w:p w:rsidR="00880768" w:rsidRDefault="00880768" w:rsidP="00880768">
      <w:r>
        <w:lastRenderedPageBreak/>
        <w:t>Departementet prioriterte i 2017 arbeidet med konsesjons- og klagebehandling av produksjonsa</w:t>
      </w:r>
      <w:r>
        <w:t>n</w:t>
      </w:r>
      <w:r>
        <w:t>legg og nettforsterkninger. Det ble stadfestet sju konsesjoner og fem avslag til vindkraftverk gitt av NVE. Konsesjonene vil totalt kunne gi en produksjon på 1,4 TWh/år. Departementet behandlet 13 klagesaker om kraftledninger.</w:t>
      </w:r>
    </w:p>
    <w:p w:rsidR="00880768" w:rsidRDefault="00880768" w:rsidP="00880768">
      <w:r>
        <w:t>Regjeringen ga ved kongelig resolusjon konsesjon til fem nye vannkraftprosjekter og to oppru</w:t>
      </w:r>
      <w:r>
        <w:t>s</w:t>
      </w:r>
      <w:r>
        <w:t>ting- og utvidelsesprosjekter med en samlet produksjon på i underkant av 0,8 TWh/år. Depart</w:t>
      </w:r>
      <w:r>
        <w:t>e</w:t>
      </w:r>
      <w:r>
        <w:t xml:space="preserve">mentet avslo tre søknader om konsesjon til vannkraftverk, der det ene avslaget ble stadfestet av Regjeringen. Fire revisjonssaker ble avgjort i 2017. I tillegg fattet departementet endelig vedtak i 38 saker om små vannkraftverk. Det ble gitt konsesjon i 14 saker som ved utbygging vil kunne gi en produksjon på om lag 140 GWh/år. </w:t>
      </w:r>
    </w:p>
    <w:p w:rsidR="00880768" w:rsidRDefault="00880768" w:rsidP="00880768">
      <w:r>
        <w:t>Departementet har fulgt opp Stortingets anmodning i Innst. 88 S (2016–2017), og satt i gang a</w:t>
      </w:r>
      <w:r>
        <w:t>r</w:t>
      </w:r>
      <w:r>
        <w:t>beidet med å utrede fremtidig energiforsyning på Svalbard. En første tilbakemelding til Stortinget om hvordan arbeidet med utredningen legges opp ble gitt i Prop. 129 S (2016–2017).</w:t>
      </w:r>
    </w:p>
    <w:p w:rsidR="00880768" w:rsidRDefault="00880768" w:rsidP="00880768">
      <w:pPr>
        <w:pStyle w:val="Undertittel"/>
      </w:pPr>
      <w:r>
        <w:t>Norges vassdrags- og energidirektorat</w:t>
      </w:r>
    </w:p>
    <w:p w:rsidR="00880768" w:rsidRDefault="00880768" w:rsidP="00880768">
      <w:r>
        <w:t>Norges vassdrags- og energidirektorat (NVE) har ansvar for å forvalte de innenlandske energire</w:t>
      </w:r>
      <w:r>
        <w:t>s</w:t>
      </w:r>
      <w:r>
        <w:t>sursene. Videre har direktoratet ansvar for å forvalte Norges vannressurser og ivareta statlige fo</w:t>
      </w:r>
      <w:r>
        <w:t>r</w:t>
      </w:r>
      <w:r>
        <w:t xml:space="preserve">valtningsoppgaver innen forebygging av flom- og skredskader. NVE er engasjert i forskning og utvikling (FoU) og internasjonalt utviklingssamarbeid innenfor sine ansvarsområder. </w:t>
      </w:r>
    </w:p>
    <w:p w:rsidR="00880768" w:rsidRDefault="00880768" w:rsidP="00880768">
      <w:r>
        <w:t>NVE har hovedkontor i Oslo og regionkontorer i Tønsberg, Hamar, Førde, Trondheim og Narvik. NVE har også kontorer på Stranda i Møre og Romsdal og i Kåfjord i Troms. Det ble utført 538 årsverk i 2017.</w:t>
      </w:r>
    </w:p>
    <w:p w:rsidR="00880768" w:rsidRDefault="00880768" w:rsidP="00880768">
      <w:pPr>
        <w:pStyle w:val="avsnitt-tittel"/>
      </w:pPr>
      <w:r>
        <w:t xml:space="preserve">Reguleringsmyndigheten for energi </w:t>
      </w:r>
    </w:p>
    <w:p w:rsidR="00880768" w:rsidRDefault="00880768" w:rsidP="00880768">
      <w:r>
        <w:t>Reguleringsmyndigheten for energi (RME) skal være reguleringsmyndighet for kraft- og gassma</w:t>
      </w:r>
      <w:r>
        <w:t>r</w:t>
      </w:r>
      <w:r>
        <w:t>kedene i Norge. RMEs oppgaver og ansvarsområder følger av tredje energimarkedspakke, jf. Sto</w:t>
      </w:r>
      <w:r>
        <w:t>r</w:t>
      </w:r>
      <w:r>
        <w:t>tingets behandling av denne våren 2018. Oppgavene er særlig knyttet til oppsyn med de nasjonale markedene for elektrisitet og naturgass, arbeid med å utvikle og implementere markedsregelverket i EU og samarbeide med andre europeiske reguleringsmyndigheter. Departementet tar sikte på å gjennomføre nødvendige forskriftsendringer som definerer RMEs virksomhet i tråd med forutse</w:t>
      </w:r>
      <w:r>
        <w:t>t</w:t>
      </w:r>
      <w:r>
        <w:t xml:space="preserve">ningene fra Stortinget for tilslutning til tredje energimarkedspakke. </w:t>
      </w:r>
    </w:p>
    <w:p w:rsidR="00880768" w:rsidRDefault="00880768" w:rsidP="00880768">
      <w:r>
        <w:t xml:space="preserve">RME utgjør en egen avdeling i NVE. RME er atskilt fra NVEs øvrige organisasjon og har eget budsjett, jf. kap. 1820, post 26. </w:t>
      </w:r>
    </w:p>
    <w:p w:rsidR="00880768" w:rsidRDefault="00880768" w:rsidP="00880768">
      <w:r>
        <w:t xml:space="preserve">RME skal bidra til å nå NVEs hovedmål om </w:t>
      </w:r>
      <w:proofErr w:type="gramStart"/>
      <w:r>
        <w:t>å</w:t>
      </w:r>
      <w:proofErr w:type="gramEnd"/>
      <w:r>
        <w:t xml:space="preserve"> «Fremme en samfunnsøkonomisk effektiv produ</w:t>
      </w:r>
      <w:r>
        <w:t>k</w:t>
      </w:r>
      <w:r>
        <w:t xml:space="preserve">sjon, overføring, omsetning og bruk av energi» innenfor sitt ansvarsområde. </w:t>
      </w:r>
    </w:p>
    <w:p w:rsidR="00880768" w:rsidRDefault="00880768" w:rsidP="00880768">
      <w:pPr>
        <w:pStyle w:val="avsnitt-tittel"/>
      </w:pPr>
      <w:r>
        <w:t xml:space="preserve">Mål </w:t>
      </w:r>
    </w:p>
    <w:p w:rsidR="00880768" w:rsidRDefault="00880768" w:rsidP="00880768">
      <w:r>
        <w:t xml:space="preserve">NVE skal i 2019 bidra til å nå fire hovedmål inkludert et antall nærmere spesifiserte delmål. </w:t>
      </w:r>
    </w:p>
    <w:p w:rsidR="00880768" w:rsidRDefault="00880768" w:rsidP="00880768">
      <w:pPr>
        <w:pStyle w:val="avsnitt-undertittel"/>
      </w:pPr>
      <w:r>
        <w:t>Bidra til en helhetlig og miljøvennlig forvaltning av vassdragene</w:t>
      </w:r>
    </w:p>
    <w:p w:rsidR="00880768" w:rsidRDefault="00880768" w:rsidP="00880768">
      <w:r>
        <w:t xml:space="preserve">NVE skal: </w:t>
      </w:r>
    </w:p>
    <w:p w:rsidR="00880768" w:rsidRDefault="00880768" w:rsidP="00880768">
      <w:pPr>
        <w:pStyle w:val="Liste"/>
      </w:pPr>
      <w:r>
        <w:t xml:space="preserve">ha god oversikt over hydrologi og vannressurser i Norge </w:t>
      </w:r>
      <w:proofErr w:type="gramStart"/>
      <w:r>
        <w:t>og</w:t>
      </w:r>
      <w:proofErr w:type="gramEnd"/>
      <w:r>
        <w:t xml:space="preserve"> gjøre hydrologiske data og analyser lett tilgjengelig </w:t>
      </w:r>
    </w:p>
    <w:p w:rsidR="00880768" w:rsidRDefault="00880768" w:rsidP="00880768">
      <w:pPr>
        <w:pStyle w:val="Liste"/>
      </w:pPr>
      <w:r>
        <w:t>ha god kunnskap om konsekvensene for vannressurser og miljø av inngrep, andre fysiske påvirkninger og klimaendringer</w:t>
      </w:r>
    </w:p>
    <w:p w:rsidR="00880768" w:rsidRDefault="00880768" w:rsidP="00880768">
      <w:pPr>
        <w:pStyle w:val="Liste"/>
      </w:pPr>
      <w:r>
        <w:lastRenderedPageBreak/>
        <w:t>avveie miljø- og brukerinteresser når nye tiltak og endringer i eksisterende tiltak behandles</w:t>
      </w:r>
    </w:p>
    <w:p w:rsidR="00880768" w:rsidRDefault="00880768" w:rsidP="00880768">
      <w:pPr>
        <w:pStyle w:val="Liste"/>
      </w:pPr>
      <w:r>
        <w:t xml:space="preserve">påse at miljøkrav og sikkerhetskrav til nye og bestående vassdragsanlegg følges </w:t>
      </w:r>
    </w:p>
    <w:p w:rsidR="00880768" w:rsidRDefault="00880768" w:rsidP="00880768">
      <w:pPr>
        <w:pStyle w:val="Liste"/>
      </w:pPr>
      <w:r>
        <w:t>bidra til en god forvaltning av vassdragsvernet</w:t>
      </w:r>
    </w:p>
    <w:p w:rsidR="00880768" w:rsidRDefault="00880768" w:rsidP="00880768">
      <w:pPr>
        <w:pStyle w:val="Liste"/>
      </w:pPr>
      <w:r>
        <w:t xml:space="preserve">bidra til gjennomføring av vannforskriften med særlig hensyn til vannkraftproduksjon og en sikker energiforsyning </w:t>
      </w:r>
    </w:p>
    <w:p w:rsidR="00880768" w:rsidRDefault="00880768" w:rsidP="00880768">
      <w:pPr>
        <w:pStyle w:val="Liste"/>
      </w:pPr>
      <w:r>
        <w:t>bidra til å bevare og formidle norsk vassdrags- og energihistorie</w:t>
      </w:r>
    </w:p>
    <w:p w:rsidR="00880768" w:rsidRDefault="00880768" w:rsidP="00880768">
      <w:pPr>
        <w:pStyle w:val="avsnitt-undertittel"/>
      </w:pPr>
      <w:r>
        <w:t xml:space="preserve">Fremme en samfunnsøkonomisk effektiv produksjon, overføring, omsetning og bruk av energi </w:t>
      </w:r>
    </w:p>
    <w:p w:rsidR="00880768" w:rsidRDefault="00880768" w:rsidP="00880768">
      <w:r>
        <w:t>NVE skal:</w:t>
      </w:r>
    </w:p>
    <w:p w:rsidR="00880768" w:rsidRDefault="00880768" w:rsidP="00880768">
      <w:pPr>
        <w:pStyle w:val="Liste"/>
      </w:pPr>
      <w:r>
        <w:t>ha god kunnskap om utviklingen i kostnader, ressursgrunnlag og miljøeffekter for aktuelle energiteknologier</w:t>
      </w:r>
    </w:p>
    <w:p w:rsidR="00880768" w:rsidRDefault="00880768" w:rsidP="00880768">
      <w:pPr>
        <w:pStyle w:val="Liste"/>
      </w:pPr>
      <w:r>
        <w:t>ha god kunnskap om kostnader, virkninger av klimaendringer, kraftforbruk, produksjon og forsyningssikkerhet i kraftsystemet</w:t>
      </w:r>
    </w:p>
    <w:p w:rsidR="00880768" w:rsidRDefault="00880768" w:rsidP="00880768">
      <w:pPr>
        <w:pStyle w:val="Liste"/>
      </w:pPr>
      <w:r>
        <w:t>ha god innsikt i utviklingen av energibruk for ulike energibærere og hvilke faktorer som påvirker denne</w:t>
      </w:r>
    </w:p>
    <w:p w:rsidR="00880768" w:rsidRDefault="00880768" w:rsidP="00880768">
      <w:pPr>
        <w:pStyle w:val="Liste"/>
      </w:pPr>
      <w:r>
        <w:t>ha god oversikt over utviklingstrekkene i det europeiske energisystemet, politikk- og r</w:t>
      </w:r>
      <w:r>
        <w:t>e</w:t>
      </w:r>
      <w:r>
        <w:t>gelverksutviklingen i EU og hvordan dette påvirker Norge</w:t>
      </w:r>
    </w:p>
    <w:p w:rsidR="00880768" w:rsidRDefault="00880768" w:rsidP="00880768">
      <w:pPr>
        <w:pStyle w:val="Liste"/>
      </w:pPr>
      <w:r>
        <w:t>bidra til samfunnsøkonomisk riktig ressursutnyttelse gjennom effektiv konsesjonsbehandling av anlegg for produksjon og overføring av energi</w:t>
      </w:r>
    </w:p>
    <w:p w:rsidR="00880768" w:rsidRDefault="00880768" w:rsidP="00880768">
      <w:pPr>
        <w:pStyle w:val="Liste"/>
      </w:pPr>
      <w:r>
        <w:t>påse at vilkår i tillatelser til utbygging og drift av anlegg for produksjon og overføring av energi følges</w:t>
      </w:r>
    </w:p>
    <w:p w:rsidR="00880768" w:rsidRDefault="00880768" w:rsidP="00880768">
      <w:pPr>
        <w:pStyle w:val="Liste"/>
      </w:pPr>
      <w:r>
        <w:t>bidra til effektive energimarkeder gjennom regulering og tilsyn</w:t>
      </w:r>
    </w:p>
    <w:p w:rsidR="00880768" w:rsidRDefault="00880768" w:rsidP="00880768">
      <w:pPr>
        <w:pStyle w:val="Liste"/>
      </w:pPr>
      <w:r>
        <w:t xml:space="preserve">bidra til effektiv drift, utnyttelse og utvikling av kraftnettet og produksjonsressurser gjennom regulering og tilsyn </w:t>
      </w:r>
    </w:p>
    <w:p w:rsidR="00880768" w:rsidRDefault="00880768" w:rsidP="00880768">
      <w:pPr>
        <w:pStyle w:val="Liste"/>
      </w:pPr>
      <w:r>
        <w:t>delta aktivt i regionalt og europeisk regulatorsamarbeid</w:t>
      </w:r>
    </w:p>
    <w:p w:rsidR="00880768" w:rsidRDefault="00880768" w:rsidP="00880768">
      <w:pPr>
        <w:pStyle w:val="avsnitt-undertittel"/>
      </w:pPr>
      <w:r>
        <w:t xml:space="preserve">Fremme en sikker kraftforsyning </w:t>
      </w:r>
    </w:p>
    <w:p w:rsidR="00880768" w:rsidRDefault="00880768" w:rsidP="00880768">
      <w:r>
        <w:t>NVE skal:</w:t>
      </w:r>
    </w:p>
    <w:p w:rsidR="00880768" w:rsidRDefault="00880768" w:rsidP="00880768">
      <w:pPr>
        <w:pStyle w:val="Liste"/>
      </w:pPr>
      <w:r>
        <w:t xml:space="preserve">overvåke og analysere utviklingen i kraft- og effektbalansene på kort og lang sikt </w:t>
      </w:r>
    </w:p>
    <w:p w:rsidR="00880768" w:rsidRDefault="00880768" w:rsidP="00880768">
      <w:pPr>
        <w:pStyle w:val="Liste"/>
      </w:pPr>
      <w:r>
        <w:t>ha god oversikt over kraftsituasjonen i ulike regioner, og være forberedt på mulige knap</w:t>
      </w:r>
      <w:r>
        <w:t>p</w:t>
      </w:r>
      <w:r>
        <w:t>hetssituasjoner og andre anstrengte kraftsituasjoner</w:t>
      </w:r>
    </w:p>
    <w:p w:rsidR="00880768" w:rsidRDefault="00880768" w:rsidP="00880768">
      <w:pPr>
        <w:pStyle w:val="Liste"/>
      </w:pPr>
      <w:r>
        <w:t>påse at beredskapen i energiforsyningen er god og i tråd med gjeldende krav</w:t>
      </w:r>
    </w:p>
    <w:p w:rsidR="00880768" w:rsidRDefault="00880768" w:rsidP="00880768">
      <w:pPr>
        <w:pStyle w:val="avsnitt-undertittel"/>
      </w:pPr>
      <w:r>
        <w:t>Bedre samfunnets evne til å håndtere flom- og skredrisiko</w:t>
      </w:r>
    </w:p>
    <w:p w:rsidR="00880768" w:rsidRDefault="00880768" w:rsidP="00880768">
      <w:r>
        <w:t>NVE skal:</w:t>
      </w:r>
    </w:p>
    <w:p w:rsidR="00880768" w:rsidRDefault="00880768" w:rsidP="00880768">
      <w:pPr>
        <w:pStyle w:val="Liste"/>
      </w:pPr>
      <w:r>
        <w:t>øke kunnskapen i samfunnet om flom- og skredfare</w:t>
      </w:r>
    </w:p>
    <w:p w:rsidR="00880768" w:rsidRDefault="00880768" w:rsidP="00880768">
      <w:pPr>
        <w:pStyle w:val="Liste"/>
      </w:pPr>
      <w:r>
        <w:t>bidra til at det tas tilstrekkelig hensyn til flom- og skredfare ved arealplanlegging</w:t>
      </w:r>
    </w:p>
    <w:p w:rsidR="00880768" w:rsidRDefault="00880768" w:rsidP="00880768">
      <w:pPr>
        <w:pStyle w:val="Liste"/>
      </w:pPr>
      <w:r>
        <w:t xml:space="preserve">redusere risikoen for flom- og skredskader ved å bidra til fysiske sikringstiltak </w:t>
      </w:r>
    </w:p>
    <w:p w:rsidR="00880768" w:rsidRDefault="00880768" w:rsidP="00880768">
      <w:pPr>
        <w:pStyle w:val="Liste"/>
      </w:pPr>
      <w:r>
        <w:t>redusere konsekvensene av flom- og skredhendelser gjennom overvåking, varsling, og rå</w:t>
      </w:r>
      <w:r>
        <w:t>d</w:t>
      </w:r>
      <w:r>
        <w:t>givning</w:t>
      </w:r>
    </w:p>
    <w:p w:rsidR="00880768" w:rsidRDefault="00880768" w:rsidP="00880768">
      <w:pPr>
        <w:pStyle w:val="Liste"/>
      </w:pPr>
      <w:r>
        <w:t>fremme godt samarbeid og god koordinering mellom berørte aktører på flom- og skredo</w:t>
      </w:r>
      <w:r>
        <w:t>m</w:t>
      </w:r>
      <w:r>
        <w:t>rådet</w:t>
      </w:r>
    </w:p>
    <w:p w:rsidR="00880768" w:rsidRDefault="00880768" w:rsidP="00880768">
      <w:pPr>
        <w:pStyle w:val="Liste"/>
      </w:pPr>
      <w:r>
        <w:t xml:space="preserve">bistå kommunene med å forebygge skader fra overvann gjennom kunnskap om avrenning i tettbygde strøk og veiledning til kommunal arealplanlegging </w:t>
      </w:r>
    </w:p>
    <w:p w:rsidR="00880768" w:rsidRDefault="00880768" w:rsidP="00880768">
      <w:pPr>
        <w:pStyle w:val="avsnitt-tittel"/>
      </w:pPr>
      <w:r>
        <w:lastRenderedPageBreak/>
        <w:t>Resultatrapport 2017</w:t>
      </w:r>
    </w:p>
    <w:p w:rsidR="00880768" w:rsidRDefault="00880768" w:rsidP="00880768">
      <w:pPr>
        <w:pStyle w:val="avsnitt-undertittel"/>
      </w:pPr>
      <w:r>
        <w:t>Bidra til en helhetlig og miljøvennlig forvaltning av vassdragene</w:t>
      </w:r>
    </w:p>
    <w:p w:rsidR="00880768" w:rsidRDefault="00880768" w:rsidP="00880768">
      <w:r>
        <w:t xml:space="preserve">NVE overvåker vannressursene i Norge ved hjelp av over 600 hydrologiske målestasjoner, i tillegg til målinger av grunnvannstand, vanntemperaturer, bre, snø, is og sedimenttransport på utvalgte steder. De hydrologiske målestasjonene gir god oversikt over vannressursene og er viktig for NVEs flom- og jordskredvarsling. </w:t>
      </w:r>
    </w:p>
    <w:p w:rsidR="00880768" w:rsidRDefault="00880768" w:rsidP="00880768">
      <w:r>
        <w:t xml:space="preserve">NVE har i 2017 formidlet informasjon om klimaendringer og klimatilpasning. NVE har innenfor samarbeidet i Norsk klimaservicesenter bidratt til å utvikle en selvbetjent løsning for å laste ned store datasett med klimafremskrivninger og hydrologiske data. Det er i 2017 laget klimaprofiler for åtte fylker som viser dagens klima, forventede klimaendringer og -utfordringer. </w:t>
      </w:r>
    </w:p>
    <w:p w:rsidR="00880768" w:rsidRDefault="00880768" w:rsidP="00880768">
      <w:r>
        <w:t xml:space="preserve">I konsesjonsbehandlingen av tiltak i vassdrag har påvirkninger på miljø- og brukerinteresser blitt utredet og helhetlig avveid. NVE har i 2017 trappet opp arbeidet med revisjon av vilkårene i eldre vassdragskonsesjoner. NVE åpnet i 2017 revisjon i fem saker og oversendte innstilling i en sak til departementet. NVE har også lagt vekt på vassdragsmiljø ved planlegging og gjennomføring av sikringstiltak mot flom og skred. Ved vurdering av tiltak i vernede vassdrag legges det stor vekt på verneverdiene. </w:t>
      </w:r>
    </w:p>
    <w:p w:rsidR="00880768" w:rsidRDefault="00880768" w:rsidP="00880768">
      <w:r>
        <w:t>NVE har i 2017 fortsatt prioritert miljøtilsyn med vassdragsanlegg under bygging. I hovedsak har tilsynet avdekket at vassdragsanlegg blir bygget i tråd med de krav som er satt. På grunn av stort omfang av nye anlegg har det vært nødvendig å prioritere ned tilsynet med anlegg i drift. Grunnl</w:t>
      </w:r>
      <w:r>
        <w:t>a</w:t>
      </w:r>
      <w:r>
        <w:t xml:space="preserve">get for å vurdere anlegg i drift er derfor ikke like godt som for anlegg under bygging. Det ble gjort vedtak om overtredelsesgebyr i to saker og en virksomhet ble politianmeldt i 2017. Disse sakene gjaldt blant annet brudd på manøvreringsreglement. </w:t>
      </w:r>
    </w:p>
    <w:p w:rsidR="00880768" w:rsidRDefault="00880768" w:rsidP="00880768">
      <w:r>
        <w:t>NVE godkjenner vassdragsteknisk ansvarlige, fagansvarlige, flomberegninger og planer for n</w:t>
      </w:r>
      <w:r>
        <w:t>y</w:t>
      </w:r>
      <w:r>
        <w:t>bygging og ombygging av dammer, vannveier og kraftverk. Dammer og vannveier skal klassifis</w:t>
      </w:r>
      <w:r>
        <w:t>e</w:t>
      </w:r>
      <w:r>
        <w:t xml:space="preserve">res i en av fem konsekvensklasser slik at det settes riktige sikkerhetskrav til planlegging, bygging og drift av anleggene. I 2017 har NVE fattet vedtak om konsekvensklasse i 480 saker. Alle dammer i konsekvensklasse 3 og 4, og 96 prosent av dammene i konsekvensklasse 2 har blitt gjennomgått og klassifisert i konsekvensklasse. </w:t>
      </w:r>
    </w:p>
    <w:p w:rsidR="00880768" w:rsidRDefault="00880768" w:rsidP="00880768">
      <w:r>
        <w:t xml:space="preserve">Det er gjennomført en rekke revisjoner og inspeksjoner på anlegg. I følge NVE er damsikkerheten i Norge samlet sett god. </w:t>
      </w:r>
    </w:p>
    <w:p w:rsidR="00880768" w:rsidRDefault="00880768" w:rsidP="00880768">
      <w:r>
        <w:t>NVE har i 2017 fått bedre oversikt over innholdet i de ulike vannforvaltningsplanene og gitt in</w:t>
      </w:r>
      <w:r>
        <w:t>n</w:t>
      </w:r>
      <w:r>
        <w:t xml:space="preserve">spill til departementenes arbeid med endringer i vannforskriften. </w:t>
      </w:r>
    </w:p>
    <w:p w:rsidR="00880768" w:rsidRDefault="00880768" w:rsidP="00880768">
      <w:r>
        <w:t xml:space="preserve">Gjennom tilskudd til Norsk Skogmuseum, Norsk Vasskraft- og Industristadmuseum, det fredede kraftanlegget Tysso I og Telemarkskanalen har NVE bidratt til bevaring og formidling av norsk vassdrags- og vannkrafthistorie. I tillegg har NVE gjennomført aktiviteter i egen regi, blant annet knyttet til dokumentasjon og formidling. </w:t>
      </w:r>
    </w:p>
    <w:p w:rsidR="00880768" w:rsidRDefault="00880768" w:rsidP="00880768">
      <w:r>
        <w:t>Departementet vurderer at NVE i 2017 har lagt til rette for en helhetlig og miljøvennlig forvaltning av vassdragene.</w:t>
      </w:r>
    </w:p>
    <w:p w:rsidR="00880768" w:rsidRDefault="00880768" w:rsidP="00880768">
      <w:pPr>
        <w:pStyle w:val="avsnitt-undertittel"/>
      </w:pPr>
      <w:r>
        <w:t xml:space="preserve">Fremme en samfunnsøkonomisk effektiv produksjon, overføring, omsetning og bruk av energi </w:t>
      </w:r>
    </w:p>
    <w:p w:rsidR="00880768" w:rsidRDefault="00880768" w:rsidP="00880768">
      <w:r>
        <w:t xml:space="preserve">For å utføre flere av sine oppgaver er NVE avhengig av god kunnskap rundt utviklingen i aktuelle energiteknologier, kraftproduksjon og </w:t>
      </w:r>
      <w:proofErr w:type="gramStart"/>
      <w:r>
        <w:t>–forbruk</w:t>
      </w:r>
      <w:proofErr w:type="gramEnd"/>
      <w:r>
        <w:t>, forsyningssikkerhet og ulike energibærere. NVE har derfor gjennomført flere analyser på disse feltene. Rapportene blir brukt av NVE og marked</w:t>
      </w:r>
      <w:r>
        <w:t>s</w:t>
      </w:r>
      <w:r>
        <w:t xml:space="preserve">aktører i utredningsoppgaver, konsesjonssøknader og i behandlingen av disse. </w:t>
      </w:r>
    </w:p>
    <w:p w:rsidR="00880768" w:rsidRDefault="00880768" w:rsidP="00880768">
      <w:r>
        <w:lastRenderedPageBreak/>
        <w:t>NVE oppdaterte arbeidet med langsiktige framskrivninger av kraftmarkedet til 2030 i en rapport høsten 2017. Framskrivningene, som publiseres årlig, tar utgangspunkt i perspektiver for kraftsy</w:t>
      </w:r>
      <w:r>
        <w:t>s</w:t>
      </w:r>
      <w:r>
        <w:t xml:space="preserve">temet og kraftpriser i Norden og Europa mot 2030. </w:t>
      </w:r>
    </w:p>
    <w:p w:rsidR="00880768" w:rsidRDefault="00880768" w:rsidP="00880768">
      <w:r>
        <w:t>NVE har også publisert «Kostnader i energisektoren», som oppdateres jevnlig. Analysen tar for seg utviklingen i kostnader for ulike energiproduksjonsteknologier, lagringsteknologier og energieffe</w:t>
      </w:r>
      <w:r>
        <w:t>k</w:t>
      </w:r>
      <w:r>
        <w:t>tiviseringstiltak, samt forventet utvikling frem mot 2030.</w:t>
      </w:r>
    </w:p>
    <w:p w:rsidR="00880768" w:rsidRDefault="00880768" w:rsidP="00880768">
      <w:r>
        <w:t>NVE har gjort en utredning av hvordan klimaendringene kan påvirke vannkraftproduksjonen. R</w:t>
      </w:r>
      <w:r>
        <w:t>e</w:t>
      </w:r>
      <w:r>
        <w:t xml:space="preserve">sultatene varierer avhengig av hvor i landet og i hvilken topografi anlegget befinner seg. </w:t>
      </w:r>
    </w:p>
    <w:p w:rsidR="00880768" w:rsidRDefault="00880768" w:rsidP="00880768">
      <w:r>
        <w:t>Energibrukstallene for Fastlands-Norge ble oppdatert i 2017. Rapporten skildrer utviklingen i ene</w:t>
      </w:r>
      <w:r>
        <w:t>r</w:t>
      </w:r>
      <w:r>
        <w:t>gibruk fra 2000 til 2015, og peker på at strømforbruket kan øke mye frem mot 2020, spesielt i</w:t>
      </w:r>
      <w:r>
        <w:t>n</w:t>
      </w:r>
      <w:r>
        <w:t xml:space="preserve">nenfor industri, petroleumsnæringen og transport. Energibruken i bygg forventes å synke frem mot 2030, til tross for utsiktene til fortsatt befolkningsvekst. </w:t>
      </w:r>
    </w:p>
    <w:p w:rsidR="00880768" w:rsidRDefault="00880768" w:rsidP="00880768">
      <w:r>
        <w:t xml:space="preserve">NVE har også vurdert at kraftsystemet trolig vil kunne håndtere en relativt stor elektrifisering av transport og et forbud mot fossil olje til oppvarming av bygg. For å unngå betydelige investeringer i kraftnettet forutsettes det at kjøretøy lader på tidspunkt kraftnettet ikke er høyt belastet. </w:t>
      </w:r>
    </w:p>
    <w:p w:rsidR="00880768" w:rsidRDefault="00880768" w:rsidP="00880768">
      <w:r>
        <w:t>En viktig oppgave for NVE er å følge utviklingen i det europeiske energisystemet, og hvordan EUs politikk- og regelverksutvikling påvirker Norge. I 2017 har NVE gjennomført vurderinger av hvi</w:t>
      </w:r>
      <w:r>
        <w:t>l</w:t>
      </w:r>
      <w:r>
        <w:t>ke konsekvenser EUs «vinterpakke» kan få for Norge. NVE har særlig arbeidet med EUs utkast til revidert fornybardirektiv, energieffektiviseringsdirektiv og bygningsenergidirektiv, samt elektris</w:t>
      </w:r>
      <w:r>
        <w:t>i</w:t>
      </w:r>
      <w:r>
        <w:t>tetsmarkedsdirektiv og elektrisitetsforordning. Videre har NVE støttet departementet i arbeidet med implementeringen av regelverk i Norge.</w:t>
      </w:r>
    </w:p>
    <w:p w:rsidR="00880768" w:rsidRDefault="00880768" w:rsidP="00880768">
      <w:r>
        <w:t>NVE har også bidratt til å utvikle det nordiske og europeiske regulatorsamarbeidet gjennom delt</w:t>
      </w:r>
      <w:r>
        <w:t>a</w:t>
      </w:r>
      <w:r>
        <w:t>kelse i CEER og ACER</w:t>
      </w:r>
      <w:r>
        <w:rPr>
          <w:vertAlign w:val="superscript"/>
        </w:rPr>
        <w:footnoteReference w:id="3"/>
      </w:r>
      <w:r>
        <w:t>. NVE har i 2017 hatt formannskapet for det Nordiske Regulatorsama</w:t>
      </w:r>
      <w:r>
        <w:t>r</w:t>
      </w:r>
      <w:r>
        <w:t>beidet, NordREG, der det har vært økt oppmerksomhet på kraftmarkedsdesign og regionalt sama</w:t>
      </w:r>
      <w:r>
        <w:t>r</w:t>
      </w:r>
      <w:r>
        <w:t xml:space="preserve">beid. </w:t>
      </w:r>
    </w:p>
    <w:p w:rsidR="00880768" w:rsidRDefault="00880768" w:rsidP="00880768">
      <w:r>
        <w:t>NVE har også rolle som regulator for det norske nedstrømsmarkedet for gass. Gjennom en effektiv konsesjonsbehandling av anlegg for produksjon og overføring av energi bidrar NVE til en god og samfunnsøkonomisk utnyttelse av ressurser. I 2017 har NVE fattet vedtak/levert innstillinger på om lag 290 km med nye kraftledninger. Prosjekter som skal opprettholde eller bedre forsyningssikke</w:t>
      </w:r>
      <w:r>
        <w:t>r</w:t>
      </w:r>
      <w:r>
        <w:t xml:space="preserve">heten har blitt prioritert. </w:t>
      </w:r>
    </w:p>
    <w:p w:rsidR="00880768" w:rsidRDefault="00880768" w:rsidP="00880768">
      <w:r>
        <w:t>I 2017 har NVE styrket systematikken i de samfunnsøkonomiske vurderingene i konsesjonssaker ved å utarbeide en konsistent metode for å vurdere enkeltprosjekters lønnsomhet og sammenlikning av disse. NVE har også arbeidet med å utvikle en metode for å anslå hvordan regulerbarhet slår ut i lønnsomhetsberegninger av kraftproduksjon. NVE har også startet arbeidet med å utarbeide en n</w:t>
      </w:r>
      <w:r>
        <w:t>a</w:t>
      </w:r>
      <w:r>
        <w:t xml:space="preserve">sjonal ramme for vindkraft på land. </w:t>
      </w:r>
    </w:p>
    <w:p w:rsidR="00880768" w:rsidRDefault="00880768" w:rsidP="00880768">
      <w:r>
        <w:t>For å legge til rette for velfungerende konkurranse, styrke insentivene til effektiv drift og utvikling av kraftnettet og tilrettelegge for bruk av ny teknologi, har NVE i 2017 blant annet utarbeidet fo</w:t>
      </w:r>
      <w:r>
        <w:t>r</w:t>
      </w:r>
      <w:r>
        <w:t xml:space="preserve">skriftsendringer om plusskunder. NVE har også arbeidet med EUs forordning om integritet og gjennomsiktige forhold i energimarkedet (REMIT). Videre har NVE startet arbeidet med forskrifter om selskapsmessig og funksjonelt skille. </w:t>
      </w:r>
    </w:p>
    <w:p w:rsidR="00880768" w:rsidRDefault="00880768" w:rsidP="00880768">
      <w:r>
        <w:t>Hvert år samler NVE inn og rapporterer økonomiske og tekniske data som blant annet blir brukt i regulering av nettselskapene. Disse tallene er nyttige for NVEs arbeid med å overvåke utviklingen i bransjen og i vurderingen av om det er behov for justeringer i reguleringen. I 2017 var oppmer</w:t>
      </w:r>
      <w:r>
        <w:t>k</w:t>
      </w:r>
      <w:r>
        <w:lastRenderedPageBreak/>
        <w:t>somheten særlig rettet mot forskjeller i effektivitet mellom vertikalt integrerte kraftselskap og rene nettselskap.</w:t>
      </w:r>
    </w:p>
    <w:p w:rsidR="00880768" w:rsidRDefault="00880768" w:rsidP="00880768">
      <w:r>
        <w:t>NVE har økt transparensen rundt inntektsreguleringen av nettselskapene gjennom å gjøre nødve</w:t>
      </w:r>
      <w:r>
        <w:t>n</w:t>
      </w:r>
      <w:r>
        <w:t>dige data tilgjengelig på NVEs nettsider slik at nettselskaper, konsulenter og akademia kan ette</w:t>
      </w:r>
      <w:r>
        <w:t>r</w:t>
      </w:r>
      <w:r>
        <w:t>prøve alle beregninger på en effektiv måte.</w:t>
      </w:r>
    </w:p>
    <w:p w:rsidR="00880768" w:rsidRDefault="00880768" w:rsidP="00880768">
      <w:r>
        <w:t>NVE har i 2017 kartlagt husholdningenes betalingsvillighet for å unngå strømavbrudd. Dette a</w:t>
      </w:r>
      <w:r>
        <w:t>r</w:t>
      </w:r>
      <w:r>
        <w:t>beidet blir fulgt opp i form av forslag til endringer i KILE-ordningen som er en del av inntektsr</w:t>
      </w:r>
      <w:r>
        <w:t>e</w:t>
      </w:r>
      <w:r>
        <w:t xml:space="preserve">guleringen av nettselskapene. </w:t>
      </w:r>
    </w:p>
    <w:p w:rsidR="00880768" w:rsidRDefault="00880768" w:rsidP="00880768">
      <w:r>
        <w:t>Tilsyn og kontroll av energimarkedet har ført til at datagrunnlaget som blir brukt til å fastsette nettselskapenes inntektsrammer blir bedre. NVEs arbeid i 2017 vil fremme mer effektive energ</w:t>
      </w:r>
      <w:r>
        <w:t>i</w:t>
      </w:r>
      <w:r>
        <w:t>markeder gjennom effektiv regulering av monopoler og styrke tilliten til markedet. Det føres også tilsyn med konsesjonsvilkårene for fjernvarme og at relevante bestemmelser i beredskapsforskri</w:t>
      </w:r>
      <w:r>
        <w:t>f</w:t>
      </w:r>
      <w:r>
        <w:t xml:space="preserve">ten blir fulgt opp. </w:t>
      </w:r>
    </w:p>
    <w:p w:rsidR="00880768" w:rsidRDefault="00880768" w:rsidP="00880768">
      <w:r>
        <w:t>NVE har i 2017 fulgt opp Statnetts utøvelse av systemansvaret. Rapporten «</w:t>
      </w:r>
      <w:r>
        <w:rPr>
          <w:rStyle w:val="kursiv"/>
          <w:sz w:val="21"/>
          <w:szCs w:val="21"/>
        </w:rPr>
        <w:t>Driften av Kraftsystemet</w:t>
      </w:r>
      <w:r>
        <w:t>» publiseres årlig, basert på rapportering av forhold som har betydning for den økonomiske regul</w:t>
      </w:r>
      <w:r>
        <w:t>e</w:t>
      </w:r>
      <w:r>
        <w:t>ringen av systemansvarlig og en samfunnsøkonomisk rasjonell utøvelse av systemansvaret. Med bakgrunn i utviklingen i kraftmarkedet, EU-regelverk, og en mer kompleks systemdrift, har NVE gjennomgått reguleringen av systemansvaret. Et forslag til endringer i deler av systemansvarsfo</w:t>
      </w:r>
      <w:r>
        <w:t>r</w:t>
      </w:r>
      <w:r>
        <w:t xml:space="preserve">skriften er sendt på høring. NVE har også pålagt Statnett å gjøre rede for kostnadsutviklingen i 2012–2016 og forventet utvikling frem mot 2021. </w:t>
      </w:r>
    </w:p>
    <w:p w:rsidR="00880768" w:rsidRDefault="00880768" w:rsidP="00880768">
      <w:r>
        <w:t>NVE forvalter ordningene med elsertifikater og opprinnelsesgarantier, og kontrollerer alle kraf</w:t>
      </w:r>
      <w:r>
        <w:t>t</w:t>
      </w:r>
      <w:r>
        <w:t>verk som mottar disse mot informasjon i NVEs databaser.</w:t>
      </w:r>
    </w:p>
    <w:p w:rsidR="00880768" w:rsidRDefault="00880768" w:rsidP="00880768">
      <w:r>
        <w:t>I 2017 har NVE bidratt til gjennomføringen av andre kontrollstasjon for elsertifikatordningen, og har fulgt utviklingen i sertifikatmarkedet. NVE har utarbeidet et grunnlag til forhandlingene me</w:t>
      </w:r>
      <w:r>
        <w:t>l</w:t>
      </w:r>
      <w:r>
        <w:t>lom Norge og Sverige i forbindelse med forlengelse av ordningen til 2030 i Sverige. Kontrollst</w:t>
      </w:r>
      <w:r>
        <w:t>a</w:t>
      </w:r>
      <w:r>
        <w:t xml:space="preserve">sjonsarbeidet var grunnlag for endring av lov og forskrift om elsertifikater i 2017. </w:t>
      </w:r>
    </w:p>
    <w:p w:rsidR="00880768" w:rsidRDefault="00880768" w:rsidP="00880768">
      <w:r>
        <w:t>NVE arbeider med å tilrettelegge for økt fleksibilitet i kraftbruken. Utrullingen av smarte strø</w:t>
      </w:r>
      <w:r>
        <w:t>m</w:t>
      </w:r>
      <w:r>
        <w:t>målere (AMS), etableringen av Elhub og felles nordisk balanseavregning (NBS) er omfattende prosjekter som vil bidra til at brukerne, nettselskapene og andre aktører vil kunne utnytte de m</w:t>
      </w:r>
      <w:r>
        <w:t>u</w:t>
      </w:r>
      <w:r>
        <w:t>lighetene digitaliseringen av strømnettet gir. Oppstarten for Elhub er utsatt til 2019. Utsettelsen vil ikke påvirke utrullingen av AMS i Norge, som skal være ferdig innen 1. januar 2019.</w:t>
      </w:r>
    </w:p>
    <w:p w:rsidR="00880768" w:rsidRDefault="00880768" w:rsidP="00880768">
      <w:r>
        <w:t>NVE har utviklet en modell som beregner forventet utvikling i nettleien basert på investeringspl</w:t>
      </w:r>
      <w:r>
        <w:t>a</w:t>
      </w:r>
      <w:r>
        <w:t>nene til nettselskapene. Modellen antyder at nettleien vil øke med 30 prosent nominelt fra 2017 til 2025.</w:t>
      </w:r>
    </w:p>
    <w:p w:rsidR="00880768" w:rsidRDefault="00880768" w:rsidP="00880768">
      <w:r>
        <w:t>I 2017 la NVE frem et forslag om tariffering av distribusjonsnett basert på abonnert effekt. Dette kan bidra til jevne ut forbruket over timer og dager, slik at investeringer i nytt nett kan utsettes eller reduseres. Utrullingen av smarte målere er en forutsetning for tariffering av effekt.</w:t>
      </w:r>
    </w:p>
    <w:p w:rsidR="00880768" w:rsidRDefault="00880768" w:rsidP="00880768">
      <w:r>
        <w:t>NVE har brukt store ressurser på implementeringen av forordninger fra EU på økodesign og ene</w:t>
      </w:r>
      <w:r>
        <w:t>r</w:t>
      </w:r>
      <w:r>
        <w:t xml:space="preserve">gimerking. Tett oppfølging av regelverksutviklingen i EU er nødvendig for å sikre at reglene også passer det norske energisystemet. I 2017 ble det bestemt at tilsynet for det energieffektiviserende regelverket skal flyttes til regionkontoret i Trondheim. </w:t>
      </w:r>
    </w:p>
    <w:p w:rsidR="00880768" w:rsidRDefault="00880768" w:rsidP="00880768">
      <w:r>
        <w:t>Departementet vurderer at NVE i 2017 gjennom sitt arbeid har bidratt til samfunnsøkonomisk e</w:t>
      </w:r>
      <w:r>
        <w:t>f</w:t>
      </w:r>
      <w:r>
        <w:t>fektiv produksjon, overføring, omsetning og bruk av energi.</w:t>
      </w:r>
    </w:p>
    <w:p w:rsidR="00880768" w:rsidRDefault="00880768" w:rsidP="00880768">
      <w:pPr>
        <w:pStyle w:val="avsnitt-undertittel"/>
      </w:pPr>
      <w:r>
        <w:lastRenderedPageBreak/>
        <w:t>Fremme en sikker kraftforsyning</w:t>
      </w:r>
    </w:p>
    <w:p w:rsidR="00880768" w:rsidRDefault="00880768" w:rsidP="00880768">
      <w:r>
        <w:t xml:space="preserve">NVE har arbeidet systematisk med å utvikle og vedlikeholde oversikten over risiko, sårbarhet og robusthet i kraftforsyningen. NVE har gjennomført tilsyn og drevet utstrakt veiledningsvirksomhet blant annet gjennom konferanser og fagsamlinger. </w:t>
      </w:r>
    </w:p>
    <w:p w:rsidR="00880768" w:rsidRDefault="00880768" w:rsidP="00880768">
      <w:r>
        <w:t>NVE har som beredskapsmyndighet fulgt opp situasjoner og hendelser i kraftforsyningen, blant annet ekstremværet «Ylva». Før vinteren 2017/2018 utarbeidet NVE en prognose for forsyningss</w:t>
      </w:r>
      <w:r>
        <w:t>i</w:t>
      </w:r>
      <w:r>
        <w:t>tuasjonen fram til vårsmeltingen, og fulgte spesielt med på utviklingen i enkelte områder hvor m</w:t>
      </w:r>
      <w:r>
        <w:t>a</w:t>
      </w:r>
      <w:r>
        <w:t xml:space="preserve">gasinsituasjonen er særlig viktig for evnen til å dekke forbruket gjennom vinteren. </w:t>
      </w:r>
    </w:p>
    <w:p w:rsidR="00880768" w:rsidRDefault="00880768" w:rsidP="00880768">
      <w:r>
        <w:t>NVE har i 2017 gjennomført mange tilsyn med kraftforsyningsberedskapen i sektoren. Fire tilsyn er gjennomført i samarbeid med DSB og NKOM. Det har vært lagt særlig vekt på IKT-sikkerhet, ROS-analyser, reparasjonsberedskap, sikring av anlegg og sikkerhet i store driftskontrollsystemer. Tallet på avvik og type avvik var på samme nivå som tidligere. NVE vurderer at dette henger sammen med at det fortsatt er flere virksomheter som ikke har blitt kontrollert etter at NVE begy</w:t>
      </w:r>
      <w:r>
        <w:t>n</w:t>
      </w:r>
      <w:r>
        <w:t>te med stedlige tilsyn. NVE har også ført tilsyn med rasjoneringsplaner hos noen nettselskaper. Det er fortsatt stor variasjon i kvaliteten på selskapenes rasjoneringsplaner. Et gjentagende avvik er manglende samarbeid med relevante aktører, som kommuner. NVE vil fortsatt ha fokus på veile</w:t>
      </w:r>
      <w:r>
        <w:t>d</w:t>
      </w:r>
      <w:r>
        <w:t xml:space="preserve">ning og tilsyn med rasjoneringsplaner. </w:t>
      </w:r>
    </w:p>
    <w:p w:rsidR="00880768" w:rsidRDefault="00880768" w:rsidP="00880768">
      <w:r>
        <w:t>NVE fortsetter å prioritere IKT-sikkerhet, og har gjennomgått regelverket og veiledninger. NVE har publisert flere rapporter om IKT-sikkerhet i kraftforsyningen, som også følger opp Lysneu</w:t>
      </w:r>
      <w:r>
        <w:t>t</w:t>
      </w:r>
      <w:r>
        <w:t>valgets anbefalinger til NVE, og kommet med flere anbefalinger til endringer i regelverket. NVE har blant annet sendt på høring forslag til endringer i beredskapsforskriften. Endringene omfatter blant annet skjerping av krav innen IKT-sikkerhet (inkludert AMS) og tydeligere krav til sikring av produksjonsanlegg. NVE har arbeidet med å avklare rollen til KraftCERT og NVE som sektorvis responsmiljø når det gjelder IKT-hendelser. NVE deltok også i en cyber-øvelse i regi av NordBER, der den norske modellen med sektorvis responsmiljø fikk mye positiv oppmerksomhet.</w:t>
      </w:r>
    </w:p>
    <w:p w:rsidR="00880768" w:rsidRDefault="00880768" w:rsidP="00880768">
      <w:r>
        <w:t>Videre har NVE vært aktiv innenfor NordBER (Nordisk beredskapssamarbeid) og har hatt økt f</w:t>
      </w:r>
      <w:r>
        <w:t>o</w:t>
      </w:r>
      <w:r>
        <w:t>kus på sikkerhet og beredskapsarbeid som skjer i EU. Samarbeidet i NordBER involverer bere</w:t>
      </w:r>
      <w:r>
        <w:t>d</w:t>
      </w:r>
      <w:r>
        <w:t xml:space="preserve">skapsmyndigheter og systemansvarlige i de nordiske landene og bidrar til en felles forståelse av utfordringer og muligheter i kraftforsyningsberedskapen. NordBER har økt oppmerksomheten på IKT-sikkerhet, og har opprettet en egen arbeidsgruppe som ledes av NVE. </w:t>
      </w:r>
    </w:p>
    <w:p w:rsidR="00880768" w:rsidRDefault="00880768" w:rsidP="00880768">
      <w:r>
        <w:t>Departementet vurderer at NVE i 2017 gjennom sitt arbeid har bidratt til å ivareta sikkerhet og b</w:t>
      </w:r>
      <w:r>
        <w:t>e</w:t>
      </w:r>
      <w:r>
        <w:t>redskap i kraftforsyningen.</w:t>
      </w:r>
    </w:p>
    <w:p w:rsidR="00880768" w:rsidRDefault="00880768" w:rsidP="00880768">
      <w:pPr>
        <w:pStyle w:val="avsnitt-undertittel"/>
      </w:pPr>
      <w:r>
        <w:t>Bedre samfunnets evne til å håndtere flom- og skredrisiko</w:t>
      </w:r>
    </w:p>
    <w:p w:rsidR="00880768" w:rsidRDefault="00880768" w:rsidP="00880768">
      <w:r>
        <w:t xml:space="preserve">NVE har i 2017 satt i gang faresonekartlegging av skred i bratt terreng for 16 nye kommuner og kartlegging av kvikkleiresoner i utsatte bebygde områder i fire nye kommuner i Nord-Norge. NVE har ferdigstilt to nye flomsonekart. </w:t>
      </w:r>
    </w:p>
    <w:p w:rsidR="00880768" w:rsidRDefault="00880768" w:rsidP="00880768">
      <w:r>
        <w:t xml:space="preserve">Tilgang på laserdata for å lage detaljerte høydemodeller er vesentlig for all farekartlegging. NVE har deltatt i Geovekst-samarbeidet og arbeidet med «Ny nasjonal høydemodell». </w:t>
      </w:r>
    </w:p>
    <w:p w:rsidR="00880768" w:rsidRDefault="00880768" w:rsidP="00880768">
      <w:r>
        <w:t>Norges geologiske undersøkelse (NGU) har på oppdrag fra NVE kartlagt fjellskredfare i utvalgte fylker og utført skredgeologisk kartlegging og kartlegging av løsmasser som underlag for farekar</w:t>
      </w:r>
      <w:r>
        <w:t>t</w:t>
      </w:r>
      <w:r>
        <w:t xml:space="preserve">legging av skred i bratt terreng og kvikkleireskred. </w:t>
      </w:r>
    </w:p>
    <w:p w:rsidR="00880768" w:rsidRDefault="00880768" w:rsidP="00880768">
      <w:r>
        <w:t xml:space="preserve">NVE har gitt om lag 4 300 innspill til arealplansaker og fremmet innsigelse i 125 saker. NVE har prioritert å gi innspill til kommuneplaner, store eller prinsipielle reguleringsplaner og planer der kommunene har bedt NVE om bistand. NVE har gitt ut en ny veileder om nasjonale og vesentlige regionale interesser innenfor NVEs saksområder i arealplanleggingen. NVE har i tillegg prioritert </w:t>
      </w:r>
      <w:r>
        <w:lastRenderedPageBreak/>
        <w:t xml:space="preserve">opplæring og veiledning av de kommuner som har størst utfordringer med flom og skred. NVEs kartlegging, veiledning og formidling har bidratt til at kommunene i økende grad tar hensyn til flom- og skredfare i arealplanleggingen. </w:t>
      </w:r>
    </w:p>
    <w:p w:rsidR="00880768" w:rsidRDefault="00880768" w:rsidP="00880768">
      <w:r>
        <w:t>NVE har sluttført 65 sikringstiltak og flere er under gjennomføring. NVEs bistand dreies nå mot store sikringstiltak som det er spesielt vanskelig for kommuner å gjennomføre på egenhånd. Blant store tiltak som ble prioritert i 2017 var avslutningen av arbeidet med bunnlastsperren i Fagervoll i Kvam i Nord-Fron kommune, parsell 3 av flomsikringen av Otta i Sel kommune, sikring av Kro</w:t>
      </w:r>
      <w:r>
        <w:t>g</w:t>
      </w:r>
      <w:r>
        <w:t>stadelva i Nedre Eiker kommune og sikring av Dalen i Tokke kommune. Arbeidet med sikringsti</w:t>
      </w:r>
      <w:r>
        <w:t>l</w:t>
      </w:r>
      <w:r>
        <w:t xml:space="preserve">tak har også vært preget av oppfølging av de siste årenes flom- og skredhendelser, blant annet på Svalbard, i Nordfjord og på Sørlandet. </w:t>
      </w:r>
    </w:p>
    <w:p w:rsidR="00880768" w:rsidRDefault="00880768" w:rsidP="00880768">
      <w:r>
        <w:t>Fjellskredovervåkingen i NVE har hatt god kontroll på overvåkingen av høyrisikoobjektene i Sogn og Fjordane, Møre og Romsdal og Troms. NVE arbeider fortløpende med kartlegging og risik</w:t>
      </w:r>
      <w:r>
        <w:t>o</w:t>
      </w:r>
      <w:r>
        <w:t xml:space="preserve">klassifisering av ustabile fjellpartier. Det er ikke avdekket nye høyrisikoobjekter i 2017. </w:t>
      </w:r>
    </w:p>
    <w:p w:rsidR="00880768" w:rsidRDefault="00880768" w:rsidP="00880768">
      <w:r>
        <w:t xml:space="preserve">Det er satt i gang et omfattende arbeid, inkludert et samarbeid med fagmiljøer i Italia og Canada, for å vurdere drenering som tiltak ved Åknes i Stranda kommune. I 2017 ble det forsøkt å tilføre vann til et mindre ustabilt område på Mannen (Veslemannen) i Rauma kommune. Operasjonen førte til økte bevegelser, men ikke nok til å utløse skred. </w:t>
      </w:r>
    </w:p>
    <w:p w:rsidR="00880768" w:rsidRDefault="00880768" w:rsidP="00880768">
      <w:r>
        <w:t>NVEs varslingstjenester for jord- og snøskred og flom på varsom.no har gitt viktig informasjon til kommuner, myndigheter, skianlegg og allmennheten. NVE sendte i 2017 ut 33 flomvarsel og 26 jordskredvarsel. I 2017 lanserte NVE en abonnementsløsning på SMS og e-post for varsling av flom og skred. Ved utgangen av 2017 var det registrert om lag 3 000 brukere.</w:t>
      </w:r>
    </w:p>
    <w:p w:rsidR="00880768" w:rsidRDefault="00880768" w:rsidP="00880768">
      <w:r>
        <w:t>Snø- og jordskredvarslingen bisto i 2017 myndighetene på Svalbard med fortløpende vurderinger av faren for snøskred og sørpeskred. Det har vært tett dialog med Sysselmannen og Longyearbyen Lokalstyre på Svalbard etter skredhendelsene i desember 2015 og februar 2017.</w:t>
      </w:r>
    </w:p>
    <w:p w:rsidR="00880768" w:rsidRDefault="00880768" w:rsidP="00880768">
      <w:r>
        <w:t xml:space="preserve">Snøskredvarslingen var operativ hele sesongen i 21 faste regioner. Snø- og jordskredvarslingen ble evaluert i 2017. Evalueringen konkluderer med at varslingen gir stor samfunnsnytte og anbefaler å øke antall regioner med snøskredvarsling. </w:t>
      </w:r>
    </w:p>
    <w:p w:rsidR="00880768" w:rsidRDefault="00880768" w:rsidP="00880768">
      <w:r>
        <w:t xml:space="preserve">NVE har gjennom ulike samarbeidsfora og ved konkrete hendelser sørget for godt samarbeid og god koordinering mellom aktører på flom- og skredområdet. </w:t>
      </w:r>
    </w:p>
    <w:p w:rsidR="00880768" w:rsidRDefault="00880768" w:rsidP="00880768">
      <w:r>
        <w:t>Departementet vurderer at NVE i 2017 har bidratt til å bedre samfunnets evne til å håndtere flom- og skredrisiko.</w:t>
      </w:r>
    </w:p>
    <w:p w:rsidR="00880768" w:rsidRDefault="00880768" w:rsidP="00880768">
      <w:pPr>
        <w:pStyle w:val="b-budkaptit"/>
      </w:pPr>
      <w:r>
        <w:t>Kap. 1820 Norges vassdrags- og energidirektorat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880768" w:rsidTr="007A7DAD">
        <w:trPr>
          <w:trHeight w:val="640"/>
        </w:trPr>
        <w:tc>
          <w:tcPr>
            <w:tcW w:w="1140" w:type="dxa"/>
            <w:shd w:val="clear" w:color="auto" w:fill="FFFFFF"/>
          </w:tcPr>
          <w:p w:rsidR="00880768" w:rsidRDefault="00880768" w:rsidP="007A7DAD">
            <w:pPr>
              <w:pStyle w:val="Tabellnavn"/>
            </w:pPr>
            <w:r>
              <w:t>KPAL</w:t>
            </w:r>
          </w:p>
        </w:tc>
        <w:tc>
          <w:tcPr>
            <w:tcW w:w="4560" w:type="dxa"/>
          </w:tcPr>
          <w:p w:rsidR="00880768" w:rsidRDefault="00880768" w:rsidP="007A7DAD">
            <w:pPr>
              <w:pStyle w:val="Tabellnavn"/>
            </w:pPr>
          </w:p>
        </w:tc>
        <w:tc>
          <w:tcPr>
            <w:tcW w:w="1140" w:type="dxa"/>
          </w:tcPr>
          <w:p w:rsidR="00880768" w:rsidRDefault="00880768" w:rsidP="007A7DAD">
            <w:pPr>
              <w:pStyle w:val="Tabellnavn"/>
              <w:jc w:val="right"/>
            </w:pPr>
          </w:p>
        </w:tc>
        <w:tc>
          <w:tcPr>
            <w:tcW w:w="1140" w:type="dxa"/>
          </w:tcPr>
          <w:p w:rsidR="00880768" w:rsidRDefault="00880768" w:rsidP="007A7DAD">
            <w:pPr>
              <w:pStyle w:val="Tabellnavn"/>
              <w:jc w:val="right"/>
            </w:pPr>
          </w:p>
        </w:tc>
        <w:tc>
          <w:tcPr>
            <w:tcW w:w="1140" w:type="dxa"/>
          </w:tcPr>
          <w:p w:rsidR="00880768" w:rsidRDefault="00880768" w:rsidP="007A7DAD">
            <w:pPr>
              <w:jc w:val="right"/>
            </w:pPr>
            <w:r>
              <w:t>(i 1 000 kr)</w:t>
            </w:r>
          </w:p>
        </w:tc>
      </w:tr>
      <w:tr w:rsidR="00880768" w:rsidTr="007A7DAD">
        <w:trPr>
          <w:trHeight w:val="600"/>
        </w:trPr>
        <w:tc>
          <w:tcPr>
            <w:tcW w:w="1140" w:type="dxa"/>
          </w:tcPr>
          <w:p w:rsidR="00880768" w:rsidRDefault="00880768" w:rsidP="007A7DAD">
            <w:r>
              <w:t>Post</w:t>
            </w:r>
          </w:p>
        </w:tc>
        <w:tc>
          <w:tcPr>
            <w:tcW w:w="4560" w:type="dxa"/>
          </w:tcPr>
          <w:p w:rsidR="00880768" w:rsidRDefault="00880768" w:rsidP="007A7DAD">
            <w:r>
              <w:t>Betegnelse</w:t>
            </w:r>
          </w:p>
        </w:tc>
        <w:tc>
          <w:tcPr>
            <w:tcW w:w="1140" w:type="dxa"/>
          </w:tcPr>
          <w:p w:rsidR="00880768" w:rsidRDefault="00880768" w:rsidP="007A7DAD">
            <w:pPr>
              <w:jc w:val="right"/>
            </w:pPr>
            <w:r>
              <w:t>Reg</w:t>
            </w:r>
            <w:r>
              <w:t>n</w:t>
            </w:r>
            <w:r>
              <w:t>skap 2017</w:t>
            </w:r>
          </w:p>
        </w:tc>
        <w:tc>
          <w:tcPr>
            <w:tcW w:w="1140" w:type="dxa"/>
          </w:tcPr>
          <w:p w:rsidR="00880768" w:rsidRDefault="00880768" w:rsidP="007A7DAD">
            <w:pPr>
              <w:jc w:val="right"/>
            </w:pPr>
            <w:r>
              <w:t xml:space="preserve">Saldert </w:t>
            </w:r>
            <w:r>
              <w:rPr>
                <w:sz w:val="22"/>
              </w:rPr>
              <w:br/>
            </w:r>
            <w:r>
              <w:t>budsjett 2018</w:t>
            </w:r>
          </w:p>
        </w:tc>
        <w:tc>
          <w:tcPr>
            <w:tcW w:w="1140" w:type="dxa"/>
          </w:tcPr>
          <w:p w:rsidR="00880768" w:rsidRDefault="00880768" w:rsidP="007A7DAD">
            <w:pPr>
              <w:jc w:val="right"/>
            </w:pPr>
            <w:r>
              <w:t xml:space="preserve">Forslag </w:t>
            </w:r>
            <w:r>
              <w:rPr>
                <w:sz w:val="22"/>
              </w:rPr>
              <w:br/>
            </w:r>
            <w:r>
              <w:t>2019</w:t>
            </w:r>
          </w:p>
        </w:tc>
      </w:tr>
      <w:tr w:rsidR="00880768" w:rsidTr="007A7DAD">
        <w:trPr>
          <w:trHeight w:val="380"/>
        </w:trPr>
        <w:tc>
          <w:tcPr>
            <w:tcW w:w="1140" w:type="dxa"/>
          </w:tcPr>
          <w:p w:rsidR="00880768" w:rsidRDefault="00880768" w:rsidP="007A7DAD">
            <w:r>
              <w:t>01</w:t>
            </w:r>
          </w:p>
        </w:tc>
        <w:tc>
          <w:tcPr>
            <w:tcW w:w="4560" w:type="dxa"/>
          </w:tcPr>
          <w:p w:rsidR="00880768" w:rsidRDefault="00880768" w:rsidP="007A7DAD">
            <w:r>
              <w:t xml:space="preserve">Driftsutgifter </w:t>
            </w:r>
          </w:p>
        </w:tc>
        <w:tc>
          <w:tcPr>
            <w:tcW w:w="1140" w:type="dxa"/>
          </w:tcPr>
          <w:p w:rsidR="00880768" w:rsidRDefault="00880768" w:rsidP="007A7DAD">
            <w:pPr>
              <w:jc w:val="right"/>
            </w:pPr>
            <w:r>
              <w:t>598 838</w:t>
            </w:r>
          </w:p>
        </w:tc>
        <w:tc>
          <w:tcPr>
            <w:tcW w:w="1140" w:type="dxa"/>
          </w:tcPr>
          <w:p w:rsidR="00880768" w:rsidRDefault="00880768" w:rsidP="007A7DAD">
            <w:pPr>
              <w:jc w:val="right"/>
            </w:pPr>
            <w:r>
              <w:t>543 329</w:t>
            </w:r>
          </w:p>
        </w:tc>
        <w:tc>
          <w:tcPr>
            <w:tcW w:w="1140" w:type="dxa"/>
          </w:tcPr>
          <w:p w:rsidR="00880768" w:rsidRDefault="00880768" w:rsidP="007A7DAD">
            <w:pPr>
              <w:jc w:val="right"/>
            </w:pPr>
            <w:r>
              <w:t>566 000</w:t>
            </w:r>
          </w:p>
        </w:tc>
      </w:tr>
      <w:tr w:rsidR="00880768" w:rsidTr="007A7DAD">
        <w:trPr>
          <w:trHeight w:val="380"/>
        </w:trPr>
        <w:tc>
          <w:tcPr>
            <w:tcW w:w="1140" w:type="dxa"/>
          </w:tcPr>
          <w:p w:rsidR="00880768" w:rsidRDefault="00880768" w:rsidP="007A7DAD">
            <w:r>
              <w:t>21</w:t>
            </w:r>
          </w:p>
        </w:tc>
        <w:tc>
          <w:tcPr>
            <w:tcW w:w="4560" w:type="dxa"/>
          </w:tcPr>
          <w:p w:rsidR="00880768" w:rsidRDefault="00880768" w:rsidP="007A7DAD">
            <w:r>
              <w:t>Spesielle driftsutgifter</w:t>
            </w:r>
            <w:r>
              <w:rPr>
                <w:rStyle w:val="kursiv"/>
                <w:sz w:val="21"/>
                <w:szCs w:val="21"/>
              </w:rPr>
              <w:t xml:space="preserve">, kan overføres </w:t>
            </w:r>
          </w:p>
        </w:tc>
        <w:tc>
          <w:tcPr>
            <w:tcW w:w="1140" w:type="dxa"/>
          </w:tcPr>
          <w:p w:rsidR="00880768" w:rsidRDefault="00880768" w:rsidP="007A7DAD">
            <w:pPr>
              <w:jc w:val="right"/>
            </w:pPr>
            <w:r>
              <w:t>27 313</w:t>
            </w:r>
          </w:p>
        </w:tc>
        <w:tc>
          <w:tcPr>
            <w:tcW w:w="1140" w:type="dxa"/>
          </w:tcPr>
          <w:p w:rsidR="00880768" w:rsidRDefault="00880768" w:rsidP="007A7DAD">
            <w:pPr>
              <w:jc w:val="right"/>
            </w:pPr>
            <w:r>
              <w:t>30 439</w:t>
            </w:r>
          </w:p>
        </w:tc>
        <w:tc>
          <w:tcPr>
            <w:tcW w:w="1140" w:type="dxa"/>
          </w:tcPr>
          <w:p w:rsidR="00880768" w:rsidRDefault="00880768" w:rsidP="007A7DAD">
            <w:pPr>
              <w:jc w:val="right"/>
            </w:pPr>
            <w:r>
              <w:t>32 000</w:t>
            </w:r>
          </w:p>
        </w:tc>
      </w:tr>
      <w:tr w:rsidR="00880768" w:rsidTr="007A7DAD">
        <w:trPr>
          <w:trHeight w:val="640"/>
        </w:trPr>
        <w:tc>
          <w:tcPr>
            <w:tcW w:w="1140" w:type="dxa"/>
          </w:tcPr>
          <w:p w:rsidR="00880768" w:rsidRDefault="00880768" w:rsidP="007A7DAD">
            <w:r>
              <w:t>22</w:t>
            </w:r>
          </w:p>
        </w:tc>
        <w:tc>
          <w:tcPr>
            <w:tcW w:w="4560" w:type="dxa"/>
          </w:tcPr>
          <w:p w:rsidR="00880768" w:rsidRDefault="00880768" w:rsidP="007A7DAD">
            <w:r>
              <w:t>Flom- og skredforebygging</w:t>
            </w:r>
            <w:r>
              <w:rPr>
                <w:rStyle w:val="kursiv"/>
                <w:sz w:val="21"/>
                <w:szCs w:val="21"/>
              </w:rPr>
              <w:t xml:space="preserve">, kan overføres, </w:t>
            </w:r>
            <w:r>
              <w:rPr>
                <w:rStyle w:val="kursiv"/>
                <w:sz w:val="21"/>
                <w:szCs w:val="21"/>
              </w:rPr>
              <w:br/>
              <w:t xml:space="preserve">kan nyttes under postene 45, 60 og 72 </w:t>
            </w:r>
          </w:p>
        </w:tc>
        <w:tc>
          <w:tcPr>
            <w:tcW w:w="1140" w:type="dxa"/>
          </w:tcPr>
          <w:p w:rsidR="00880768" w:rsidRDefault="00880768" w:rsidP="007A7DAD">
            <w:pPr>
              <w:jc w:val="right"/>
            </w:pPr>
            <w:r>
              <w:t>308 460</w:t>
            </w:r>
          </w:p>
        </w:tc>
        <w:tc>
          <w:tcPr>
            <w:tcW w:w="1140" w:type="dxa"/>
          </w:tcPr>
          <w:p w:rsidR="00880768" w:rsidRDefault="00880768" w:rsidP="007A7DAD">
            <w:pPr>
              <w:jc w:val="right"/>
            </w:pPr>
            <w:r>
              <w:t>261 454</w:t>
            </w:r>
          </w:p>
        </w:tc>
        <w:tc>
          <w:tcPr>
            <w:tcW w:w="1140" w:type="dxa"/>
          </w:tcPr>
          <w:p w:rsidR="00880768" w:rsidRDefault="00880768" w:rsidP="007A7DAD">
            <w:pPr>
              <w:jc w:val="right"/>
            </w:pPr>
            <w:r>
              <w:t>257 000</w:t>
            </w:r>
          </w:p>
        </w:tc>
      </w:tr>
      <w:tr w:rsidR="00880768" w:rsidTr="007A7DAD">
        <w:trPr>
          <w:trHeight w:val="380"/>
        </w:trPr>
        <w:tc>
          <w:tcPr>
            <w:tcW w:w="1140" w:type="dxa"/>
          </w:tcPr>
          <w:p w:rsidR="00880768" w:rsidRDefault="00880768" w:rsidP="007A7DAD">
            <w:r>
              <w:t>23</w:t>
            </w:r>
          </w:p>
        </w:tc>
        <w:tc>
          <w:tcPr>
            <w:tcW w:w="4560" w:type="dxa"/>
          </w:tcPr>
          <w:p w:rsidR="00880768" w:rsidRDefault="00880768" w:rsidP="007A7DAD">
            <w:r>
              <w:t>Oppdrags- og samarbeidsvirksomhet</w:t>
            </w:r>
            <w:r>
              <w:rPr>
                <w:rStyle w:val="kursiv"/>
                <w:sz w:val="21"/>
                <w:szCs w:val="21"/>
              </w:rPr>
              <w:t xml:space="preserve">, kan overføres </w:t>
            </w:r>
          </w:p>
        </w:tc>
        <w:tc>
          <w:tcPr>
            <w:tcW w:w="1140" w:type="dxa"/>
          </w:tcPr>
          <w:p w:rsidR="00880768" w:rsidRDefault="00880768" w:rsidP="007A7DAD">
            <w:pPr>
              <w:jc w:val="right"/>
            </w:pPr>
            <w:r>
              <w:t>77 444</w:t>
            </w:r>
          </w:p>
        </w:tc>
        <w:tc>
          <w:tcPr>
            <w:tcW w:w="1140" w:type="dxa"/>
          </w:tcPr>
          <w:p w:rsidR="00880768" w:rsidRDefault="00880768" w:rsidP="007A7DAD">
            <w:pPr>
              <w:jc w:val="right"/>
            </w:pPr>
            <w:r>
              <w:t>86 820</w:t>
            </w:r>
          </w:p>
        </w:tc>
        <w:tc>
          <w:tcPr>
            <w:tcW w:w="1140" w:type="dxa"/>
          </w:tcPr>
          <w:p w:rsidR="00880768" w:rsidRDefault="00880768" w:rsidP="007A7DAD">
            <w:pPr>
              <w:jc w:val="right"/>
            </w:pPr>
            <w:r>
              <w:t>89 000</w:t>
            </w:r>
          </w:p>
        </w:tc>
      </w:tr>
      <w:tr w:rsidR="00880768" w:rsidTr="007A7DAD">
        <w:trPr>
          <w:trHeight w:val="380"/>
        </w:trPr>
        <w:tc>
          <w:tcPr>
            <w:tcW w:w="1140" w:type="dxa"/>
          </w:tcPr>
          <w:p w:rsidR="00880768" w:rsidRDefault="00880768" w:rsidP="007A7DAD">
            <w:r>
              <w:lastRenderedPageBreak/>
              <w:t>26</w:t>
            </w:r>
          </w:p>
        </w:tc>
        <w:tc>
          <w:tcPr>
            <w:tcW w:w="4560" w:type="dxa"/>
          </w:tcPr>
          <w:p w:rsidR="00880768" w:rsidRDefault="00880768" w:rsidP="007A7DAD">
            <w:r>
              <w:t>Driftsutgifter, Reguleringsmyndigheten for energi</w:t>
            </w:r>
            <w:r>
              <w:rPr>
                <w:rStyle w:val="kursiv"/>
                <w:sz w:val="21"/>
                <w:szCs w:val="21"/>
              </w:rPr>
              <w:t xml:space="preserve"> </w:t>
            </w:r>
          </w:p>
        </w:tc>
        <w:tc>
          <w:tcPr>
            <w:tcW w:w="1140" w:type="dxa"/>
          </w:tcPr>
          <w:p w:rsidR="00880768" w:rsidRDefault="00880768" w:rsidP="007A7DAD">
            <w:pPr>
              <w:jc w:val="right"/>
            </w:pPr>
          </w:p>
        </w:tc>
        <w:tc>
          <w:tcPr>
            <w:tcW w:w="1140" w:type="dxa"/>
          </w:tcPr>
          <w:p w:rsidR="00880768" w:rsidRDefault="00880768" w:rsidP="007A7DAD">
            <w:pPr>
              <w:jc w:val="right"/>
            </w:pPr>
            <w:r>
              <w:t>55 000</w:t>
            </w:r>
          </w:p>
        </w:tc>
        <w:tc>
          <w:tcPr>
            <w:tcW w:w="1140" w:type="dxa"/>
          </w:tcPr>
          <w:p w:rsidR="00880768" w:rsidRDefault="00880768" w:rsidP="007A7DAD">
            <w:pPr>
              <w:jc w:val="right"/>
            </w:pPr>
            <w:r>
              <w:t>56 500</w:t>
            </w:r>
          </w:p>
        </w:tc>
      </w:tr>
      <w:tr w:rsidR="00880768" w:rsidTr="007A7DAD">
        <w:trPr>
          <w:trHeight w:val="640"/>
        </w:trPr>
        <w:tc>
          <w:tcPr>
            <w:tcW w:w="1140" w:type="dxa"/>
          </w:tcPr>
          <w:p w:rsidR="00880768" w:rsidRDefault="00880768" w:rsidP="007A7DAD">
            <w:r>
              <w:t>45</w:t>
            </w:r>
          </w:p>
        </w:tc>
        <w:tc>
          <w:tcPr>
            <w:tcW w:w="4560" w:type="dxa"/>
          </w:tcPr>
          <w:p w:rsidR="00880768" w:rsidRDefault="00880768" w:rsidP="007A7DAD">
            <w:r>
              <w:t>Større utstyrsanskaffelser og vedlikehold</w:t>
            </w:r>
            <w:r>
              <w:rPr>
                <w:rStyle w:val="kursiv"/>
                <w:sz w:val="21"/>
                <w:szCs w:val="21"/>
              </w:rPr>
              <w:t xml:space="preserve">, </w:t>
            </w:r>
            <w:r>
              <w:rPr>
                <w:rStyle w:val="kursiv"/>
                <w:sz w:val="21"/>
                <w:szCs w:val="21"/>
              </w:rPr>
              <w:br/>
              <w:t xml:space="preserve">kan overføres, kan nyttes under post 22 </w:t>
            </w:r>
          </w:p>
        </w:tc>
        <w:tc>
          <w:tcPr>
            <w:tcW w:w="1140" w:type="dxa"/>
          </w:tcPr>
          <w:p w:rsidR="00880768" w:rsidRDefault="00880768" w:rsidP="007A7DAD">
            <w:pPr>
              <w:jc w:val="right"/>
            </w:pPr>
            <w:r>
              <w:t>14 653</w:t>
            </w:r>
          </w:p>
        </w:tc>
        <w:tc>
          <w:tcPr>
            <w:tcW w:w="1140" w:type="dxa"/>
          </w:tcPr>
          <w:p w:rsidR="00880768" w:rsidRDefault="00880768" w:rsidP="007A7DAD">
            <w:pPr>
              <w:jc w:val="right"/>
            </w:pPr>
            <w:r>
              <w:t>17 000</w:t>
            </w:r>
          </w:p>
        </w:tc>
        <w:tc>
          <w:tcPr>
            <w:tcW w:w="1140" w:type="dxa"/>
          </w:tcPr>
          <w:p w:rsidR="00880768" w:rsidRDefault="00880768" w:rsidP="007A7DAD">
            <w:pPr>
              <w:jc w:val="right"/>
            </w:pPr>
            <w:r>
              <w:t>20 000</w:t>
            </w:r>
          </w:p>
        </w:tc>
      </w:tr>
      <w:tr w:rsidR="00880768" w:rsidTr="007A7DAD">
        <w:trPr>
          <w:trHeight w:val="640"/>
        </w:trPr>
        <w:tc>
          <w:tcPr>
            <w:tcW w:w="1140" w:type="dxa"/>
          </w:tcPr>
          <w:p w:rsidR="00880768" w:rsidRDefault="00880768" w:rsidP="007A7DAD">
            <w:r>
              <w:t>60</w:t>
            </w:r>
          </w:p>
        </w:tc>
        <w:tc>
          <w:tcPr>
            <w:tcW w:w="4560" w:type="dxa"/>
          </w:tcPr>
          <w:p w:rsidR="00880768" w:rsidRDefault="00880768" w:rsidP="007A7DAD">
            <w:r>
              <w:t>Tilskudd til flom- og skredforebygging</w:t>
            </w:r>
            <w:r>
              <w:rPr>
                <w:rStyle w:val="kursiv"/>
                <w:sz w:val="21"/>
                <w:szCs w:val="21"/>
              </w:rPr>
              <w:t xml:space="preserve">, </w:t>
            </w:r>
            <w:r>
              <w:rPr>
                <w:rStyle w:val="kursiv"/>
                <w:sz w:val="21"/>
                <w:szCs w:val="21"/>
              </w:rPr>
              <w:br/>
              <w:t xml:space="preserve">kan overføres, kan nyttes under postene 22 og 72 </w:t>
            </w:r>
          </w:p>
        </w:tc>
        <w:tc>
          <w:tcPr>
            <w:tcW w:w="1140" w:type="dxa"/>
          </w:tcPr>
          <w:p w:rsidR="00880768" w:rsidRDefault="00880768" w:rsidP="007A7DAD">
            <w:pPr>
              <w:jc w:val="right"/>
            </w:pPr>
            <w:r>
              <w:t>45 918</w:t>
            </w:r>
          </w:p>
        </w:tc>
        <w:tc>
          <w:tcPr>
            <w:tcW w:w="1140" w:type="dxa"/>
          </w:tcPr>
          <w:p w:rsidR="00880768" w:rsidRDefault="00880768" w:rsidP="007A7DAD">
            <w:pPr>
              <w:jc w:val="right"/>
            </w:pPr>
            <w:r>
              <w:t>67 000</w:t>
            </w:r>
          </w:p>
        </w:tc>
        <w:tc>
          <w:tcPr>
            <w:tcW w:w="1140" w:type="dxa"/>
          </w:tcPr>
          <w:p w:rsidR="00880768" w:rsidRDefault="00880768" w:rsidP="007A7DAD">
            <w:pPr>
              <w:jc w:val="right"/>
            </w:pPr>
            <w:r>
              <w:t>66 000</w:t>
            </w:r>
          </w:p>
        </w:tc>
      </w:tr>
      <w:tr w:rsidR="00880768" w:rsidTr="007A7DAD">
        <w:trPr>
          <w:trHeight w:val="640"/>
        </w:trPr>
        <w:tc>
          <w:tcPr>
            <w:tcW w:w="1140" w:type="dxa"/>
          </w:tcPr>
          <w:p w:rsidR="00880768" w:rsidRDefault="00880768" w:rsidP="007A7DAD">
            <w:r>
              <w:t>72</w:t>
            </w:r>
          </w:p>
        </w:tc>
        <w:tc>
          <w:tcPr>
            <w:tcW w:w="4560" w:type="dxa"/>
          </w:tcPr>
          <w:p w:rsidR="00880768" w:rsidRDefault="00880768" w:rsidP="007A7DAD">
            <w:r>
              <w:t>Tilskudd til flom- og skredforebygging</w:t>
            </w:r>
            <w:r>
              <w:rPr>
                <w:rStyle w:val="kursiv"/>
                <w:sz w:val="21"/>
                <w:szCs w:val="21"/>
              </w:rPr>
              <w:t xml:space="preserve">, </w:t>
            </w:r>
            <w:r>
              <w:rPr>
                <w:rStyle w:val="kursiv"/>
                <w:sz w:val="21"/>
                <w:szCs w:val="21"/>
              </w:rPr>
              <w:br/>
              <w:t xml:space="preserve">kan overføres, kan nyttes under postene 22 og 60 </w:t>
            </w:r>
          </w:p>
        </w:tc>
        <w:tc>
          <w:tcPr>
            <w:tcW w:w="1140" w:type="dxa"/>
          </w:tcPr>
          <w:p w:rsidR="00880768" w:rsidRDefault="00880768" w:rsidP="007A7DAD">
            <w:pPr>
              <w:jc w:val="right"/>
            </w:pPr>
            <w:r>
              <w:t>5 268</w:t>
            </w:r>
          </w:p>
        </w:tc>
        <w:tc>
          <w:tcPr>
            <w:tcW w:w="1140" w:type="dxa"/>
          </w:tcPr>
          <w:p w:rsidR="00880768" w:rsidRDefault="00880768" w:rsidP="007A7DAD">
            <w:pPr>
              <w:jc w:val="right"/>
            </w:pPr>
            <w:r>
              <w:t>5 000</w:t>
            </w:r>
          </w:p>
        </w:tc>
        <w:tc>
          <w:tcPr>
            <w:tcW w:w="1140" w:type="dxa"/>
          </w:tcPr>
          <w:p w:rsidR="00880768" w:rsidRDefault="00880768" w:rsidP="007A7DAD">
            <w:pPr>
              <w:jc w:val="right"/>
            </w:pPr>
            <w:r>
              <w:t>6 000</w:t>
            </w:r>
          </w:p>
        </w:tc>
      </w:tr>
      <w:tr w:rsidR="00880768" w:rsidTr="007A7DAD">
        <w:trPr>
          <w:trHeight w:val="380"/>
        </w:trPr>
        <w:tc>
          <w:tcPr>
            <w:tcW w:w="1140" w:type="dxa"/>
          </w:tcPr>
          <w:p w:rsidR="00880768" w:rsidRDefault="00880768" w:rsidP="007A7DAD">
            <w:r>
              <w:t>73</w:t>
            </w:r>
          </w:p>
        </w:tc>
        <w:tc>
          <w:tcPr>
            <w:tcW w:w="4560" w:type="dxa"/>
          </w:tcPr>
          <w:p w:rsidR="00880768" w:rsidRDefault="00880768" w:rsidP="007A7DAD">
            <w:r>
              <w:t xml:space="preserve">Tilskudd til utjevning av overføringstariffer </w:t>
            </w:r>
          </w:p>
        </w:tc>
        <w:tc>
          <w:tcPr>
            <w:tcW w:w="1140" w:type="dxa"/>
          </w:tcPr>
          <w:p w:rsidR="00880768" w:rsidRDefault="00880768" w:rsidP="007A7DAD">
            <w:pPr>
              <w:jc w:val="right"/>
            </w:pPr>
            <w:r>
              <w:t>10 000</w:t>
            </w:r>
          </w:p>
        </w:tc>
        <w:tc>
          <w:tcPr>
            <w:tcW w:w="1140" w:type="dxa"/>
          </w:tcPr>
          <w:p w:rsidR="00880768" w:rsidRDefault="00880768" w:rsidP="007A7DAD">
            <w:pPr>
              <w:jc w:val="right"/>
            </w:pPr>
          </w:p>
        </w:tc>
        <w:tc>
          <w:tcPr>
            <w:tcW w:w="1140" w:type="dxa"/>
          </w:tcPr>
          <w:p w:rsidR="00880768" w:rsidRDefault="00880768" w:rsidP="007A7DAD">
            <w:pPr>
              <w:jc w:val="right"/>
            </w:pPr>
          </w:p>
        </w:tc>
      </w:tr>
      <w:tr w:rsidR="00880768" w:rsidTr="007A7DAD">
        <w:trPr>
          <w:trHeight w:val="640"/>
        </w:trPr>
        <w:tc>
          <w:tcPr>
            <w:tcW w:w="1140" w:type="dxa"/>
          </w:tcPr>
          <w:p w:rsidR="00880768" w:rsidRDefault="00880768" w:rsidP="007A7DAD">
            <w:r>
              <w:t>74</w:t>
            </w:r>
          </w:p>
        </w:tc>
        <w:tc>
          <w:tcPr>
            <w:tcW w:w="4560" w:type="dxa"/>
          </w:tcPr>
          <w:p w:rsidR="00880768" w:rsidRDefault="00880768" w:rsidP="007A7DAD">
            <w:r>
              <w:t>Tilskudd til museums- og kulturminnetiltak</w:t>
            </w:r>
            <w:r>
              <w:rPr>
                <w:rStyle w:val="kursiv"/>
                <w:sz w:val="21"/>
                <w:szCs w:val="21"/>
              </w:rPr>
              <w:t xml:space="preserve">, </w:t>
            </w:r>
            <w:r>
              <w:rPr>
                <w:rStyle w:val="kursiv"/>
                <w:sz w:val="21"/>
                <w:szCs w:val="21"/>
              </w:rPr>
              <w:br/>
              <w:t xml:space="preserve">kan overføres </w:t>
            </w:r>
          </w:p>
        </w:tc>
        <w:tc>
          <w:tcPr>
            <w:tcW w:w="1140" w:type="dxa"/>
          </w:tcPr>
          <w:p w:rsidR="00880768" w:rsidRDefault="00880768" w:rsidP="007A7DAD">
            <w:pPr>
              <w:jc w:val="right"/>
            </w:pPr>
            <w:r>
              <w:t>8 600</w:t>
            </w:r>
          </w:p>
        </w:tc>
        <w:tc>
          <w:tcPr>
            <w:tcW w:w="1140" w:type="dxa"/>
          </w:tcPr>
          <w:p w:rsidR="00880768" w:rsidRDefault="00880768" w:rsidP="007A7DAD">
            <w:pPr>
              <w:jc w:val="right"/>
            </w:pPr>
            <w:r>
              <w:t>14 600</w:t>
            </w:r>
          </w:p>
        </w:tc>
        <w:tc>
          <w:tcPr>
            <w:tcW w:w="1140" w:type="dxa"/>
          </w:tcPr>
          <w:p w:rsidR="00880768" w:rsidRDefault="00880768" w:rsidP="007A7DAD">
            <w:pPr>
              <w:jc w:val="right"/>
            </w:pPr>
            <w:r>
              <w:t>8 600</w:t>
            </w:r>
          </w:p>
        </w:tc>
      </w:tr>
      <w:tr w:rsidR="00880768" w:rsidTr="007A7DAD">
        <w:trPr>
          <w:trHeight w:val="380"/>
        </w:trPr>
        <w:tc>
          <w:tcPr>
            <w:tcW w:w="1140" w:type="dxa"/>
          </w:tcPr>
          <w:p w:rsidR="00880768" w:rsidRDefault="00880768" w:rsidP="007A7DAD"/>
        </w:tc>
        <w:tc>
          <w:tcPr>
            <w:tcW w:w="4560" w:type="dxa"/>
          </w:tcPr>
          <w:p w:rsidR="00880768" w:rsidRDefault="00880768" w:rsidP="007A7DAD">
            <w:r>
              <w:t>Sum kap. 1820</w:t>
            </w:r>
          </w:p>
        </w:tc>
        <w:tc>
          <w:tcPr>
            <w:tcW w:w="1140" w:type="dxa"/>
          </w:tcPr>
          <w:p w:rsidR="00880768" w:rsidRDefault="00880768" w:rsidP="007A7DAD">
            <w:pPr>
              <w:jc w:val="right"/>
            </w:pPr>
            <w:r>
              <w:t>1 096 494</w:t>
            </w:r>
          </w:p>
        </w:tc>
        <w:tc>
          <w:tcPr>
            <w:tcW w:w="1140" w:type="dxa"/>
          </w:tcPr>
          <w:p w:rsidR="00880768" w:rsidRDefault="00880768" w:rsidP="007A7DAD">
            <w:pPr>
              <w:jc w:val="right"/>
            </w:pPr>
            <w:r>
              <w:t>1 080 642</w:t>
            </w:r>
          </w:p>
        </w:tc>
        <w:tc>
          <w:tcPr>
            <w:tcW w:w="1140" w:type="dxa"/>
          </w:tcPr>
          <w:p w:rsidR="00880768" w:rsidRDefault="00880768" w:rsidP="007A7DAD">
            <w:pPr>
              <w:jc w:val="right"/>
            </w:pPr>
            <w:r>
              <w:t>1 101 100</w:t>
            </w:r>
          </w:p>
        </w:tc>
      </w:tr>
    </w:tbl>
    <w:p w:rsidR="00880768" w:rsidRDefault="00880768" w:rsidP="00880768">
      <w:pPr>
        <w:pStyle w:val="b-post"/>
      </w:pPr>
      <w:r>
        <w:t>Post 01 Driftsutgifter</w:t>
      </w:r>
    </w:p>
    <w:p w:rsidR="00880768" w:rsidRDefault="00880768" w:rsidP="00880768">
      <w:r>
        <w:t xml:space="preserve">Posten omfatter lønnsutgifter og andre utgifter til drift av NVE. Lønnsrelaterte utgifter utgjør om lag 70 prosent. </w:t>
      </w:r>
    </w:p>
    <w:p w:rsidR="00880768" w:rsidRDefault="00880768" w:rsidP="00880768">
      <w:r>
        <w:t xml:space="preserve">Det foreslås en bevilgning på 566 mill. kroner. Økningen fra saldert budsjett 2018 har blant annet sammenheng med kompensasjon for virkningen av lønnsoppgjøret i staten for 2018. </w:t>
      </w:r>
    </w:p>
    <w:p w:rsidR="00880768" w:rsidRDefault="00880768" w:rsidP="00880768">
      <w:r>
        <w:t>NVE skal bistå kommunene med å forebygge skader fra overvann gjennom kunnskap om avre</w:t>
      </w:r>
      <w:r>
        <w:t>n</w:t>
      </w:r>
      <w:r>
        <w:t>ning i tettbygde strøk (urbanhydrologi) og veiledning til kommunal arealplanlegging. Det foreslås en økning på 8 mill. kroner til nye stillinger for å bistå kommunene med håndtering av overvann og flom i tettbebygde strøk, knyttet til arealplanoppfølging og veiledning. Videre omfatter det nye stillinger til etablering og drift av hydrologiske målestasjoner, samt hydrologiske analyser. Flere urbanhydrologiske stasjoner skal styrke kunnskapsgrunnlaget om avrenning i byer og tettsteder.</w:t>
      </w:r>
    </w:p>
    <w:p w:rsidR="00880768" w:rsidRDefault="00880768" w:rsidP="00880768">
      <w:r>
        <w:t>I tillegg foreslås det å styrke NVEs arbeid med snøskredvarsling med 2 mill. kroner for å utvide snøskredvarsling til nye regioner; deler av Finnmarkskysten og de mest utsatte fjellområdene i R</w:t>
      </w:r>
      <w:r>
        <w:t>o</w:t>
      </w:r>
      <w:r>
        <w:t xml:space="preserve">galand og Agder. </w:t>
      </w:r>
    </w:p>
    <w:p w:rsidR="00880768" w:rsidRDefault="00880768" w:rsidP="00880768">
      <w:r>
        <w:t>Behovet for tilsyn med energianlegg er økende som følge av at flere anlegg som det er gitt kons</w:t>
      </w:r>
      <w:r>
        <w:t>e</w:t>
      </w:r>
      <w:r>
        <w:t>sjon til nå realiseres. Det foreslås en økning på 2 mill. kroner for finansiere to nye årsverk til tilsyn. Tilsynet er gebyrfinansiert, jf. kap. 4820, post 01.</w:t>
      </w:r>
    </w:p>
    <w:p w:rsidR="00880768" w:rsidRDefault="00880768" w:rsidP="00880768">
      <w:r>
        <w:t>Som følge av at NVE har inngått avtale med Direktoratet for økonomistyring om levering av reg</w:t>
      </w:r>
      <w:r>
        <w:t>n</w:t>
      </w:r>
      <w:r>
        <w:t>skapstjenester foreslås det å rammeoverføre 0,9 mill. kroner til kap. 1605 Direktoratet for økon</w:t>
      </w:r>
      <w:r>
        <w:t>o</w:t>
      </w:r>
      <w:r>
        <w:t>mistyring, post 01 Driftsutgifter.</w:t>
      </w:r>
    </w:p>
    <w:p w:rsidR="00880768" w:rsidRDefault="00880768" w:rsidP="00880768">
      <w:pPr>
        <w:pStyle w:val="b-post"/>
      </w:pPr>
      <w:r>
        <w:t>Post 21 Spesielle driftsutgifter, kan overføres</w:t>
      </w:r>
    </w:p>
    <w:p w:rsidR="00880768" w:rsidRDefault="00880768" w:rsidP="00880768">
      <w:r>
        <w:t>Posten omfatter i hovedsak utgifter til prosjekter som skal bidra til å øke NVEs forvaltningsko</w:t>
      </w:r>
      <w:r>
        <w:t>m</w:t>
      </w:r>
      <w:r>
        <w:t>petanse og kvalitet innenfor direktoratets ansvarsområder. NVE samarbeider med en rekke utda</w:t>
      </w:r>
      <w:r>
        <w:t>n</w:t>
      </w:r>
      <w:r>
        <w:t>nings- og forskningsinstitusjoner både nasjonalt og internasjonalt.</w:t>
      </w:r>
    </w:p>
    <w:p w:rsidR="00880768" w:rsidRDefault="00880768" w:rsidP="00880768">
      <w:r>
        <w:t xml:space="preserve">Det foreslås en bevilgning på 32 mill. kroner og en fullmakt til å pådra forpliktelser for inntil 10 mill. kroner utover gitt bevilgning, jf. forslag til vedtak VI. </w:t>
      </w:r>
    </w:p>
    <w:p w:rsidR="00880768" w:rsidRDefault="00880768" w:rsidP="00880768">
      <w:r>
        <w:t xml:space="preserve">Av bevilgningen foreslås det å sette av 7 mill. kroner til å videreutvikle og forbedre IKT-løsningene i NVE. </w:t>
      </w:r>
    </w:p>
    <w:p w:rsidR="00880768" w:rsidRDefault="00880768" w:rsidP="00880768">
      <w:r>
        <w:lastRenderedPageBreak/>
        <w:t>NVE har i dag det operative ansvaret for kraftforsyningsberedskapen, også digitale hendelser. Det er etablert et CERT-miljø (Computer Emergency Response Team) i kraftsektoren, KraftCERT. Videre skal det etableres et responsmiljø for håndtering av IKT-sikkerhetshendelser i energisekt</w:t>
      </w:r>
      <w:r>
        <w:t>o</w:t>
      </w:r>
      <w:r>
        <w:t xml:space="preserve">ren. Det foreslås å sette av 2 mill. kroner til å etablere et responsmiljø for håndtering av IKT-sikkerhetshendelser i kraftsektoren (SRM) og at KraftCert utpekes som SRM i energisektoren sammen med NVE som beredskapsmyndighet. </w:t>
      </w:r>
    </w:p>
    <w:p w:rsidR="00880768" w:rsidRDefault="00880768" w:rsidP="00880768">
      <w:pPr>
        <w:pStyle w:val="b-post"/>
      </w:pPr>
      <w:r>
        <w:t>Post 22 Flom- og skredforebygging, kan overføres, kan nyttes under postene 45, 60 og 72</w:t>
      </w:r>
    </w:p>
    <w:p w:rsidR="007A7DAD" w:rsidRPr="007A7DAD" w:rsidRDefault="007A7DAD" w:rsidP="007A7DAD">
      <w:pPr>
        <w:pStyle w:val="Tabellnavn"/>
      </w:pPr>
      <w:r w:rsidRPr="007A7DAD">
        <w:t>04N2xt2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880768" w:rsidTr="007A7DAD">
        <w:trPr>
          <w:trHeight w:val="380"/>
        </w:trPr>
        <w:tc>
          <w:tcPr>
            <w:tcW w:w="5200" w:type="dxa"/>
            <w:shd w:val="clear" w:color="auto" w:fill="FFFFFF"/>
          </w:tcPr>
          <w:p w:rsidR="00880768" w:rsidRDefault="00880768" w:rsidP="007A7DAD">
            <w:pPr>
              <w:pStyle w:val="Tabellnavn"/>
            </w:pPr>
          </w:p>
        </w:tc>
        <w:tc>
          <w:tcPr>
            <w:tcW w:w="1300" w:type="dxa"/>
          </w:tcPr>
          <w:p w:rsidR="00880768" w:rsidRDefault="00880768" w:rsidP="007A7DAD">
            <w:pPr>
              <w:pStyle w:val="Tabellnavn"/>
              <w:jc w:val="right"/>
            </w:pPr>
          </w:p>
        </w:tc>
        <w:tc>
          <w:tcPr>
            <w:tcW w:w="1300" w:type="dxa"/>
          </w:tcPr>
          <w:p w:rsidR="00880768" w:rsidRDefault="00880768" w:rsidP="007A7DAD">
            <w:pPr>
              <w:pStyle w:val="Tabellnavn"/>
              <w:jc w:val="right"/>
            </w:pPr>
          </w:p>
        </w:tc>
        <w:tc>
          <w:tcPr>
            <w:tcW w:w="1300" w:type="dxa"/>
          </w:tcPr>
          <w:p w:rsidR="00880768" w:rsidRDefault="00880768" w:rsidP="007A7DAD">
            <w:pPr>
              <w:jc w:val="right"/>
            </w:pPr>
            <w:r>
              <w:t>(i 1 000 kr)</w:t>
            </w:r>
          </w:p>
        </w:tc>
      </w:tr>
      <w:tr w:rsidR="00880768" w:rsidTr="007A7DAD">
        <w:trPr>
          <w:trHeight w:val="600"/>
        </w:trPr>
        <w:tc>
          <w:tcPr>
            <w:tcW w:w="5200" w:type="dxa"/>
          </w:tcPr>
          <w:p w:rsidR="00880768" w:rsidRDefault="00880768" w:rsidP="007A7DAD">
            <w:r>
              <w:t>Betegnelse</w:t>
            </w:r>
          </w:p>
        </w:tc>
        <w:tc>
          <w:tcPr>
            <w:tcW w:w="1300" w:type="dxa"/>
          </w:tcPr>
          <w:p w:rsidR="00880768" w:rsidRDefault="00880768" w:rsidP="007A7DAD">
            <w:pPr>
              <w:jc w:val="right"/>
            </w:pPr>
            <w:r>
              <w:t>Regnskap 2017</w:t>
            </w:r>
          </w:p>
        </w:tc>
        <w:tc>
          <w:tcPr>
            <w:tcW w:w="1300" w:type="dxa"/>
          </w:tcPr>
          <w:p w:rsidR="00880768" w:rsidRDefault="00880768" w:rsidP="0083591C">
            <w:pPr>
              <w:jc w:val="right"/>
            </w:pPr>
            <w:r>
              <w:t>Salder</w:t>
            </w:r>
            <w:r>
              <w:t>t</w:t>
            </w:r>
            <w:r w:rsidR="0083591C">
              <w:t xml:space="preserve"> </w:t>
            </w:r>
            <w:r>
              <w:t>budsjett 2018</w:t>
            </w:r>
          </w:p>
        </w:tc>
        <w:tc>
          <w:tcPr>
            <w:tcW w:w="1300" w:type="dxa"/>
          </w:tcPr>
          <w:p w:rsidR="00880768" w:rsidRDefault="00880768" w:rsidP="0083591C">
            <w:pPr>
              <w:jc w:val="right"/>
            </w:pPr>
            <w:r>
              <w:t>Fo</w:t>
            </w:r>
            <w:r>
              <w:t>r</w:t>
            </w:r>
            <w:r>
              <w:t>slag</w:t>
            </w:r>
            <w:r w:rsidR="0083591C">
              <w:t xml:space="preserve"> </w:t>
            </w:r>
            <w:r>
              <w:t>2019</w:t>
            </w:r>
          </w:p>
        </w:tc>
      </w:tr>
      <w:tr w:rsidR="00880768" w:rsidTr="007A7DAD">
        <w:trPr>
          <w:trHeight w:val="380"/>
        </w:trPr>
        <w:tc>
          <w:tcPr>
            <w:tcW w:w="5200" w:type="dxa"/>
          </w:tcPr>
          <w:p w:rsidR="00880768" w:rsidRDefault="00880768" w:rsidP="007A7DAD">
            <w:r>
              <w:t xml:space="preserve">Sikrings- og miljøtiltak </w:t>
            </w:r>
          </w:p>
        </w:tc>
        <w:tc>
          <w:tcPr>
            <w:tcW w:w="1300" w:type="dxa"/>
          </w:tcPr>
          <w:p w:rsidR="00880768" w:rsidRDefault="00880768" w:rsidP="007A7DAD">
            <w:pPr>
              <w:jc w:val="right"/>
            </w:pPr>
            <w:r>
              <w:t>205 413</w:t>
            </w:r>
          </w:p>
        </w:tc>
        <w:tc>
          <w:tcPr>
            <w:tcW w:w="1300" w:type="dxa"/>
          </w:tcPr>
          <w:p w:rsidR="00880768" w:rsidRDefault="00880768" w:rsidP="007A7DAD">
            <w:pPr>
              <w:jc w:val="right"/>
            </w:pPr>
            <w:r>
              <w:t>180 454</w:t>
            </w:r>
          </w:p>
        </w:tc>
        <w:tc>
          <w:tcPr>
            <w:tcW w:w="1300" w:type="dxa"/>
          </w:tcPr>
          <w:p w:rsidR="00880768" w:rsidRDefault="00880768" w:rsidP="007A7DAD">
            <w:pPr>
              <w:jc w:val="right"/>
            </w:pPr>
            <w:r>
              <w:t>176 000</w:t>
            </w:r>
          </w:p>
        </w:tc>
      </w:tr>
      <w:tr w:rsidR="00880768" w:rsidTr="007A7DAD">
        <w:trPr>
          <w:trHeight w:val="380"/>
        </w:trPr>
        <w:tc>
          <w:tcPr>
            <w:tcW w:w="5200" w:type="dxa"/>
          </w:tcPr>
          <w:p w:rsidR="00880768" w:rsidRDefault="00880768" w:rsidP="007A7DAD">
            <w:r>
              <w:t xml:space="preserve">Kartlegging av flom og skred </w:t>
            </w:r>
          </w:p>
        </w:tc>
        <w:tc>
          <w:tcPr>
            <w:tcW w:w="1300" w:type="dxa"/>
          </w:tcPr>
          <w:p w:rsidR="00880768" w:rsidRDefault="00880768" w:rsidP="007A7DAD">
            <w:pPr>
              <w:jc w:val="right"/>
            </w:pPr>
            <w:r>
              <w:t>67 358</w:t>
            </w:r>
          </w:p>
        </w:tc>
        <w:tc>
          <w:tcPr>
            <w:tcW w:w="1300" w:type="dxa"/>
          </w:tcPr>
          <w:p w:rsidR="00880768" w:rsidRDefault="00880768" w:rsidP="007A7DAD">
            <w:pPr>
              <w:jc w:val="right"/>
            </w:pPr>
            <w:r>
              <w:t>50 000</w:t>
            </w:r>
          </w:p>
        </w:tc>
        <w:tc>
          <w:tcPr>
            <w:tcW w:w="1300" w:type="dxa"/>
          </w:tcPr>
          <w:p w:rsidR="00880768" w:rsidRDefault="00880768" w:rsidP="007A7DAD">
            <w:pPr>
              <w:jc w:val="right"/>
            </w:pPr>
            <w:r>
              <w:t>50 000</w:t>
            </w:r>
          </w:p>
        </w:tc>
      </w:tr>
      <w:tr w:rsidR="00880768" w:rsidTr="007A7DAD">
        <w:trPr>
          <w:trHeight w:val="380"/>
        </w:trPr>
        <w:tc>
          <w:tcPr>
            <w:tcW w:w="5200" w:type="dxa"/>
          </w:tcPr>
          <w:p w:rsidR="00880768" w:rsidRDefault="00880768" w:rsidP="007A7DAD">
            <w:r>
              <w:t xml:space="preserve">Fjellskredovervåking </w:t>
            </w:r>
          </w:p>
        </w:tc>
        <w:tc>
          <w:tcPr>
            <w:tcW w:w="1300" w:type="dxa"/>
          </w:tcPr>
          <w:p w:rsidR="00880768" w:rsidRDefault="00880768" w:rsidP="007A7DAD">
            <w:pPr>
              <w:jc w:val="right"/>
            </w:pPr>
            <w:r>
              <w:t>35 689</w:t>
            </w:r>
          </w:p>
        </w:tc>
        <w:tc>
          <w:tcPr>
            <w:tcW w:w="1300" w:type="dxa"/>
          </w:tcPr>
          <w:p w:rsidR="00880768" w:rsidRDefault="00880768" w:rsidP="007A7DAD">
            <w:pPr>
              <w:jc w:val="right"/>
            </w:pPr>
            <w:r>
              <w:t>31 000</w:t>
            </w:r>
          </w:p>
        </w:tc>
        <w:tc>
          <w:tcPr>
            <w:tcW w:w="1300" w:type="dxa"/>
          </w:tcPr>
          <w:p w:rsidR="00880768" w:rsidRDefault="00880768" w:rsidP="007A7DAD">
            <w:pPr>
              <w:jc w:val="right"/>
            </w:pPr>
            <w:r>
              <w:t>31 000</w:t>
            </w:r>
          </w:p>
        </w:tc>
      </w:tr>
      <w:tr w:rsidR="00880768" w:rsidTr="007A7DAD">
        <w:trPr>
          <w:trHeight w:val="380"/>
        </w:trPr>
        <w:tc>
          <w:tcPr>
            <w:tcW w:w="5200" w:type="dxa"/>
          </w:tcPr>
          <w:p w:rsidR="00880768" w:rsidRDefault="00880768" w:rsidP="007A7DAD">
            <w:r>
              <w:t>Sum post 22</w:t>
            </w:r>
          </w:p>
        </w:tc>
        <w:tc>
          <w:tcPr>
            <w:tcW w:w="1300" w:type="dxa"/>
          </w:tcPr>
          <w:p w:rsidR="00880768" w:rsidRDefault="00880768" w:rsidP="007A7DAD">
            <w:pPr>
              <w:jc w:val="right"/>
            </w:pPr>
            <w:r>
              <w:t>308 460</w:t>
            </w:r>
          </w:p>
        </w:tc>
        <w:tc>
          <w:tcPr>
            <w:tcW w:w="1300" w:type="dxa"/>
          </w:tcPr>
          <w:p w:rsidR="00880768" w:rsidRDefault="00880768" w:rsidP="007A7DAD">
            <w:pPr>
              <w:jc w:val="right"/>
            </w:pPr>
            <w:r>
              <w:t>261 454</w:t>
            </w:r>
          </w:p>
        </w:tc>
        <w:tc>
          <w:tcPr>
            <w:tcW w:w="1300" w:type="dxa"/>
          </w:tcPr>
          <w:p w:rsidR="00880768" w:rsidRDefault="00880768" w:rsidP="007A7DAD">
            <w:pPr>
              <w:jc w:val="right"/>
            </w:pPr>
            <w:r>
              <w:t>257 000</w:t>
            </w:r>
          </w:p>
        </w:tc>
      </w:tr>
    </w:tbl>
    <w:p w:rsidR="00880768" w:rsidRDefault="00880768" w:rsidP="00880768">
      <w:r>
        <w:t>Posten omfatter utgifter til tiltak for forebygging av flom- og skredskader som gjennomføres i regi av NVE.</w:t>
      </w:r>
    </w:p>
    <w:p w:rsidR="00880768" w:rsidRDefault="00880768" w:rsidP="00880768">
      <w:r>
        <w:t xml:space="preserve">Det foreslås en bevilgning på 257 mill. kroner og en fullmakt til å pådra forpliktelser utover gitt bevilgning for inntil 150 mill. kroner, jf. forslag til vedtak VI. </w:t>
      </w:r>
    </w:p>
    <w:p w:rsidR="00880768" w:rsidRDefault="00880768" w:rsidP="00880768">
      <w:pPr>
        <w:pStyle w:val="avsnitt-tittel"/>
      </w:pPr>
      <w:r>
        <w:t xml:space="preserve">Sikrings- og miljøtiltak </w:t>
      </w:r>
    </w:p>
    <w:p w:rsidR="00880768" w:rsidRDefault="00880768" w:rsidP="00880768">
      <w:r>
        <w:t>Det foreslås 176 mill. kroner til sikrings- og miljøtiltak i regi av NVE. Videre foreslås det 45 mill. kroner til skredsikring i Longyearbyen over Justis- og beredskapsdepartementets budsjett.</w:t>
      </w:r>
    </w:p>
    <w:p w:rsidR="00880768" w:rsidRDefault="00880768" w:rsidP="00880768">
      <w:r>
        <w:t xml:space="preserve">Sikringstiltak er fysiske tiltak som enten skal beskytte bebyggelse mot skredmasser og flomvann, hindre erosjon eller redusere sannsynligheten for at skred utløses. NVE prioriterer tiltak som gir stor samfunnsmessig nytte i forhold til kostnader. </w:t>
      </w:r>
    </w:p>
    <w:p w:rsidR="00880768" w:rsidRDefault="00880768" w:rsidP="00880768">
      <w:r>
        <w:t>Miljøtiltak er tiltak som avbøter virkningene av et fysisk inngrep i vassdrag. Eksempler på slike tiltak er åpning av avstengte sideløp, etablering av vegetasjon og tilførsel av gytegrus.</w:t>
      </w:r>
    </w:p>
    <w:p w:rsidR="00880768" w:rsidRDefault="00880768" w:rsidP="00880768">
      <w:r>
        <w:t>Bistand kan enten gis i form av at NVE tar på seg dette arbeidet på vegne av kommunen eller at det gis tilskudd der kommunen selv tar på seg oppgavene med utredning, planlegging og gjennomf</w:t>
      </w:r>
      <w:r>
        <w:t>ø</w:t>
      </w:r>
      <w:r>
        <w:t xml:space="preserve">ring, jf. post 60. </w:t>
      </w:r>
    </w:p>
    <w:p w:rsidR="00880768" w:rsidRDefault="00880768" w:rsidP="00880768">
      <w:r>
        <w:t xml:space="preserve">Det gis normalt ikke bistand til tiltak med en kostnad mindre enn 500 000 kroner. NVE kan dekke inntil 80 prosent av kostnadene ved et tiltak. Kommunen er ansvarlig for å dekke de resterende 20 prosent, jf. kap. 4820, post 40. </w:t>
      </w:r>
    </w:p>
    <w:p w:rsidR="00880768" w:rsidRDefault="00880768" w:rsidP="00880768">
      <w:pPr>
        <w:pStyle w:val="avsnitt-tittel"/>
      </w:pPr>
      <w:r>
        <w:t>Kartlegging av flom- og skredfare</w:t>
      </w:r>
    </w:p>
    <w:p w:rsidR="00880768" w:rsidRDefault="00880768" w:rsidP="00880768">
      <w:r>
        <w:t xml:space="preserve">Det foreslås 50 mill. kroner til kartlegging av flom- og skredfare. </w:t>
      </w:r>
    </w:p>
    <w:p w:rsidR="00880768" w:rsidRDefault="00880768" w:rsidP="00880768">
      <w:r>
        <w:lastRenderedPageBreak/>
        <w:t>Fare- og risikokartlegging gir kunnskap om hvilke områder som er utsatt og hvilke konsekvenser flom og skred kan medføre. Slik kunnskap er en forutsetning for en systematisk og effektiv håndt</w:t>
      </w:r>
      <w:r>
        <w:t>e</w:t>
      </w:r>
      <w:r>
        <w:t>ring av flom- og skredrisiko.</w:t>
      </w:r>
    </w:p>
    <w:p w:rsidR="00880768" w:rsidRDefault="00880768" w:rsidP="00880768">
      <w:r>
        <w:t>NVE er ansvarlig for den statlige farekartleggingen når det gjelder flom og skred. Denne tar u</w:t>
      </w:r>
      <w:r>
        <w:t>t</w:t>
      </w:r>
      <w:r>
        <w:t>gangspunkt i områder med eksisterende bebyggelse der de naturgitte forholdene medfører størst risiko. Effekter av klimaendring vil inngå i vurderingene av risiko. Kommunene vil fortsatt drive farekartlegging av både nyere og eldre bebyggelse som en del av ansvaret for arealplanlegging og lokal beredskap. Statlige infrastruktureiere har som eiere og utbyggere et selvstendig ansvar for nødvendig kartlegging i tilknytning til sine anlegg.</w:t>
      </w:r>
    </w:p>
    <w:p w:rsidR="00880768" w:rsidRDefault="00880768" w:rsidP="00880768">
      <w:r>
        <w:t xml:space="preserve">Systematisk forebyggende arbeid innebærer å kartlegge farene, identifisere de områder der risikoen er størst og gjennomføre de tiltak som gir mest igjen for innsatsen. Gjennom gode farekart legges fundamentet for det øvrige forebyggende arbeidet. </w:t>
      </w:r>
    </w:p>
    <w:p w:rsidR="00880768" w:rsidRDefault="00880768" w:rsidP="00880768">
      <w:pPr>
        <w:pStyle w:val="avsnitt-tittel"/>
      </w:pPr>
      <w:r>
        <w:t>Fjellskredovervåking</w:t>
      </w:r>
    </w:p>
    <w:p w:rsidR="00880768" w:rsidRDefault="00880768" w:rsidP="00880768">
      <w:r>
        <w:t>Det foreslås 31 mill. kroner til drift og vedlikehold av anlegg for fjellskredovervåking og arbeid med å vurdere drenering som avbøtende tiltak i Åknesrenna. Øvrige driftsutgifter dekkes under kap. 1820, post 01.</w:t>
      </w:r>
    </w:p>
    <w:p w:rsidR="00880768" w:rsidRDefault="00880768" w:rsidP="00880768">
      <w:r>
        <w:t xml:space="preserve">Så langt er sju fjell vurdert å utgjøre en så høy risiko at de overvåkes døgnkontinuerlig; Åknes, Hegguraksla og Mannen i Møre og Romsdal, Jettan, Indre Nordnes og Gamanjunni i Troms og Joasetbergi i Sogn og Fjordane. Måledata overføres løpende til NVEs overvåkingssentre på Stranda i Møre og Romsdal eller Kåfjord i Troms. Formålet er å kunne varsle beredskapsmyndighetene i god tid slik at befolkningen kan evakueres før det går fjellskred. </w:t>
      </w:r>
    </w:p>
    <w:p w:rsidR="00880768" w:rsidRDefault="00880768" w:rsidP="00880768">
      <w:pPr>
        <w:pStyle w:val="b-post"/>
      </w:pPr>
      <w:r>
        <w:t>Post 23 Oppdrags- og samarbeidsvirksomhet, kan overføres</w:t>
      </w:r>
    </w:p>
    <w:p w:rsidR="00880768" w:rsidRDefault="00880768" w:rsidP="00880768">
      <w:r>
        <w:t>Posten omfatter utgifter til hydrologisk oppdragsvirksomhet og institusjonelle oppdrag, drift av hydrologiske målestasjoner for regulanter og andre kunder, samt oppdragsforskning og rådgivning i Norge og utlandet. Videre skal posten dekke utgifter knyttet til NVEs samarbeidsavtale med NORAD om rådgivning innenfor vann- og energisektoren. Innenfor samarbeidsavtalen skal NVE bidra til kompetanse- og institusjonsbygging i utvalgte samarbeidsland, med særlig vekt på forn</w:t>
      </w:r>
      <w:r>
        <w:t>y</w:t>
      </w:r>
      <w:r>
        <w:t xml:space="preserve">bar energi og bærekraftig forvaltning av naturressurser. </w:t>
      </w:r>
    </w:p>
    <w:p w:rsidR="00880768" w:rsidRDefault="00880768" w:rsidP="00880768">
      <w:r>
        <w:t>Det foreslås en bevilgning på 89 mill. kroner og en fullmakt til å overskride bevilgningen mot ti</w:t>
      </w:r>
      <w:r>
        <w:t>l</w:t>
      </w:r>
      <w:r>
        <w:t>svarende merinntekter under kap. 4820, post 02 Oppdrags- og samarbeidsinntekter, jf. forslag til vedtak II.</w:t>
      </w:r>
    </w:p>
    <w:p w:rsidR="00880768" w:rsidRDefault="00880768" w:rsidP="00880768">
      <w:pPr>
        <w:pStyle w:val="b-post"/>
      </w:pPr>
      <w:r>
        <w:t>Post 26 Driftsutgifter, Reguleringsmyndigheten for energi</w:t>
      </w:r>
    </w:p>
    <w:p w:rsidR="00880768" w:rsidRDefault="00880768" w:rsidP="00880768">
      <w:r>
        <w:t>Posten omfatter lønnsutgifter og andre utgifter til etablering og drift av reguleringsmyndigheten for energi, jf. tidligere omtale. Lønnsrelaterte utgifter utgjør om lag 90 prosent.</w:t>
      </w:r>
    </w:p>
    <w:p w:rsidR="00880768" w:rsidRDefault="00880768" w:rsidP="00880768">
      <w:r>
        <w:t xml:space="preserve">Det foreslås en bevilgning på 56,5 mill. kroner. </w:t>
      </w:r>
    </w:p>
    <w:p w:rsidR="00880768" w:rsidRDefault="00880768" w:rsidP="00880768">
      <w:pPr>
        <w:pStyle w:val="b-post"/>
      </w:pPr>
      <w:r>
        <w:t>Post 45 Større utstyrsanskaffelser og vedlikehold, kan overføres, kan nyttes under post 22</w:t>
      </w:r>
    </w:p>
    <w:p w:rsidR="00880768" w:rsidRDefault="00880768" w:rsidP="00880768">
      <w:r>
        <w:t>Posten omfatter utgifter til investeringer i overvåkingsutstyr til fjellskredovervåking, oppgrad</w:t>
      </w:r>
      <w:r>
        <w:t>e</w:t>
      </w:r>
      <w:r>
        <w:t>ringer av det hydrologiske stasjonsnettet, nye urbanhydrologiske målestasjoner og nye målestasj</w:t>
      </w:r>
      <w:r>
        <w:t>o</w:t>
      </w:r>
      <w:r>
        <w:t>ner for jord- og snøskredvarsling.</w:t>
      </w:r>
    </w:p>
    <w:p w:rsidR="00880768" w:rsidRDefault="00880768" w:rsidP="00880768">
      <w:r>
        <w:lastRenderedPageBreak/>
        <w:t>Det foreslås en bevilgning på 20 mill. kroner. Økningen fra saldert budsjett 2018 har sammenheng med økte investeringer i urbanhydrologiske målestasjoner og målestasjoner til snøskredvarsling i nye regioner, jf. omtale under kap. 1820, post 01.</w:t>
      </w:r>
    </w:p>
    <w:p w:rsidR="00880768" w:rsidRDefault="00880768" w:rsidP="00880768">
      <w:pPr>
        <w:pStyle w:val="b-post"/>
      </w:pPr>
      <w:r>
        <w:t>Post 60 Tilskudd til flom- og skredforebygging, kan overføres, kan nyttes under postene 22 og 72</w:t>
      </w:r>
    </w:p>
    <w:p w:rsidR="00880768" w:rsidRDefault="00880768" w:rsidP="00880768">
      <w:r>
        <w:t xml:space="preserve">Posten omfatter tilskudd til utredning, planlegging og gjennomføring av fysiske sikringstiltak mot flom og skred, og til miljøtiltak i vassdrag i regi av kommuner. </w:t>
      </w:r>
    </w:p>
    <w:p w:rsidR="00880768" w:rsidRDefault="00880768" w:rsidP="00880768">
      <w:r>
        <w:t xml:space="preserve">Det foreslås en bevilgning på 66 mill. kroner og en tilsagnsfullmakt på 70 mill. kroner, jf. forslag til vedtak V. </w:t>
      </w:r>
    </w:p>
    <w:p w:rsidR="00880768" w:rsidRDefault="00880768" w:rsidP="00880768">
      <w:pPr>
        <w:pStyle w:val="avsnitt-tittel"/>
      </w:pPr>
      <w:r>
        <w:t>Mål for ordningen</w:t>
      </w:r>
    </w:p>
    <w:p w:rsidR="00880768" w:rsidRDefault="00880768" w:rsidP="00880768">
      <w:r>
        <w:t>Ordningen skal bidra til gjennomføring av sikringstiltak som er nødvendige for å redusere faren for tap av menneskeliv og store verdier ved flom og skred som kan ramme eksisterende bebyggelse. Ordningen skal i tillegg bidra til gjennomføring av tiltak for bedring av vassdragsmiljøet der det er forringet av tidligere inngrep. Målgruppen er kommuner som ønsker å gjennomføre slike tiltak i egen regi.</w:t>
      </w:r>
    </w:p>
    <w:p w:rsidR="00880768" w:rsidRDefault="00880768" w:rsidP="00880768">
      <w:pPr>
        <w:pStyle w:val="avsnitt-tittel"/>
      </w:pPr>
      <w:r>
        <w:t>Tildelings- og oppfølgingskriterier</w:t>
      </w:r>
    </w:p>
    <w:p w:rsidR="00880768" w:rsidRDefault="00880768" w:rsidP="00880768">
      <w:r>
        <w:t>Søknader om tilskudd til kommuner skal prioriteres etter samfunnsøkonomiske kriterier slik at samfunnet får mest mulig igjen i form av redusert risiko for flom- og skredskader. Alle tiltak som staten bidrar til å realisere skal vurderes samlet med sikte på en best mulig nasjonal prioritering.</w:t>
      </w:r>
    </w:p>
    <w:p w:rsidR="00880768" w:rsidRDefault="00880768" w:rsidP="00880768">
      <w:r>
        <w:t>Ved vurdering av søknader skal det legges vekt på om kommunen har gjort det som må anses som rimelig for å ta hensyn til kjent fare for flom og skred, herunder styring av arealbruken i forbinde</w:t>
      </w:r>
      <w:r>
        <w:t>l</w:t>
      </w:r>
      <w:r>
        <w:t>se med arealplanleggingen og plassering av byggverk i forbindelse med byggesaksbehandlingen. Dersom det ikke er tatt tilstrekkelig hensyn til kjente farer, kan søknader avslås eller kravet om egenandel økes. Det samme gjelder dersom flom- eller skredfaren er en følge av terrenginngrep eller andre tiltak som kommunen eller annen part har ansvaret for.</w:t>
      </w:r>
    </w:p>
    <w:p w:rsidR="00880768" w:rsidRDefault="00880768" w:rsidP="00880768">
      <w:r>
        <w:t>Tilskudd kan gis til utredning, planlegging og gjennomføring av fysiske sikringstiltak mot flom og skred og til miljøtiltak i vassdrag. Det legges til grunn at NVE normalt ikke skal gi tilskudd til si</w:t>
      </w:r>
      <w:r>
        <w:t>k</w:t>
      </w:r>
      <w:r>
        <w:t xml:space="preserve">ringstiltak med en kostnad mindre enn kroner 500 000. </w:t>
      </w:r>
    </w:p>
    <w:p w:rsidR="00880768" w:rsidRDefault="00880768" w:rsidP="00880768">
      <w:r>
        <w:t>NVE er ansvarlig for tildeling av midler og oppfølging av ordningen. Ordningen kunngjøres på NVEs nettsider.</w:t>
      </w:r>
    </w:p>
    <w:p w:rsidR="00880768" w:rsidRDefault="00880768" w:rsidP="00880768">
      <w:pPr>
        <w:pStyle w:val="avsnitt-tittel"/>
      </w:pPr>
      <w:r>
        <w:t>Resultatrapport 2017</w:t>
      </w:r>
    </w:p>
    <w:p w:rsidR="00880768" w:rsidRDefault="00880768" w:rsidP="00880768">
      <w:r>
        <w:t>Det ble utbetalt om lag 46 mill. kroner i tilskudd til kommuner til flom- og skredforebygging. En del av dette var hastetiltak etter ekstremværet Synne, der Eigersund kommune har fått tilskudd til flomsikring av Egersund sentrum. I tillegg er det gitt tilskudd til flomsikring av Fåvang i Gu</w:t>
      </w:r>
      <w:r>
        <w:t>d</w:t>
      </w:r>
      <w:r>
        <w:t>brandsdalen, snøskredsikring i Hammerfest og steinsprangsikring på Osterøy. NVE har også utb</w:t>
      </w:r>
      <w:r>
        <w:t>e</w:t>
      </w:r>
      <w:r>
        <w:t>talt tilskudd til rivning og flytting av boliger og driftsbygninger som er utsatt for skredfare i Man</w:t>
      </w:r>
      <w:r>
        <w:t>n</w:t>
      </w:r>
      <w:r>
        <w:t>dalen i Kåfjord kommune.</w:t>
      </w:r>
    </w:p>
    <w:p w:rsidR="00880768" w:rsidRDefault="00880768" w:rsidP="00880768">
      <w:pPr>
        <w:pStyle w:val="b-post"/>
      </w:pPr>
      <w:r>
        <w:lastRenderedPageBreak/>
        <w:t>Post 72 Tilskudd til flom- og skredforebygging, kan overføres, kan nyttes under postene 22 og 60</w:t>
      </w:r>
    </w:p>
    <w:p w:rsidR="00880768" w:rsidRDefault="00880768" w:rsidP="00880768">
      <w:r>
        <w:t xml:space="preserve">Det foreslås en bevilgning på 6 mill. kroner til tiltak for forebygging av flom- og skredskader som gjennomføres i privat regi. Videre foreslås det en tilsagnsfullmakt på 10 mill. kroner, jf. forslag til vedtak V. </w:t>
      </w:r>
    </w:p>
    <w:p w:rsidR="00880768" w:rsidRDefault="00880768" w:rsidP="00880768">
      <w:pPr>
        <w:pStyle w:val="avsnitt-tittel"/>
      </w:pPr>
      <w:r>
        <w:t>Tilskudd til Norges geotekniske institutt</w:t>
      </w:r>
    </w:p>
    <w:p w:rsidR="00880768" w:rsidRDefault="00880768" w:rsidP="00880768">
      <w:r>
        <w:t xml:space="preserve">Det foreslås et tilskudd på 4 mill. kroner til Norges geotekniske institutt (NGI) til drift og utvikling av Ryggfonn i Grasdalen (Stryn) som er </w:t>
      </w:r>
      <w:proofErr w:type="gramStart"/>
      <w:r>
        <w:t>et</w:t>
      </w:r>
      <w:proofErr w:type="gramEnd"/>
      <w:r>
        <w:t xml:space="preserve"> fullskala feltlaboratorium for snøskredforskning. Dette vil bidra til at Ryggfonn opprettholdes som nasjonal infrastruktur til bruk i forskningsprosjekter. Tilskuddet skal også bidra til å styrke fagmiljøet som en viktig del av den nasjonale forskning</w:t>
      </w:r>
      <w:r>
        <w:t>s</w:t>
      </w:r>
      <w:r>
        <w:t>kompetansen innen snøskred.</w:t>
      </w:r>
    </w:p>
    <w:p w:rsidR="00880768" w:rsidRDefault="00880768" w:rsidP="00880768">
      <w:pPr>
        <w:pStyle w:val="avsnitt-undertittel"/>
      </w:pPr>
      <w:r>
        <w:t>Resultatrapport 2017</w:t>
      </w:r>
    </w:p>
    <w:p w:rsidR="00880768" w:rsidRDefault="00880768" w:rsidP="00880768">
      <w:r>
        <w:t>NVE har utbetalt 3 mill. kroner i tilskudd til NGI.</w:t>
      </w:r>
      <w:r>
        <w:rPr>
          <w:rStyle w:val="kursiv"/>
          <w:sz w:val="21"/>
          <w:szCs w:val="21"/>
        </w:rPr>
        <w:t xml:space="preserve"> </w:t>
      </w:r>
      <w:r>
        <w:t xml:space="preserve">Midlene er blant annet brukt på å videreføre og utarbeide statistiske modeller for beregning av utløpsdistanse for snøskred samt forskning på effekt av sikringstiltak, skreddynamikk, snøskredvarsling og sørpeskred. </w:t>
      </w:r>
    </w:p>
    <w:p w:rsidR="00880768" w:rsidRDefault="00880768" w:rsidP="00880768">
      <w:pPr>
        <w:pStyle w:val="avsnitt-tittel"/>
      </w:pPr>
      <w:r>
        <w:t>Tilskudd til flom- og skredforebygging og miljøtiltak langs vassdrag</w:t>
      </w:r>
    </w:p>
    <w:p w:rsidR="00880768" w:rsidRDefault="00880768" w:rsidP="00880768">
      <w:r>
        <w:t>Det foreslås 2 mill. kroner i tilskudd til utredning, planlegging og gjennomføring av fysiske si</w:t>
      </w:r>
      <w:r>
        <w:t>k</w:t>
      </w:r>
      <w:r>
        <w:t xml:space="preserve">ringstiltak mot flom og skred, og til miljøtiltak i vassdrag i privat regi. </w:t>
      </w:r>
    </w:p>
    <w:p w:rsidR="00880768" w:rsidRDefault="00880768" w:rsidP="00880768">
      <w:pPr>
        <w:pStyle w:val="avsnitt-undertittel"/>
      </w:pPr>
      <w:r>
        <w:t>Mål for ordningen</w:t>
      </w:r>
    </w:p>
    <w:p w:rsidR="00880768" w:rsidRDefault="00880768" w:rsidP="00880768">
      <w:r>
        <w:t>Ordningen skal bidra til gjennomføring av sikringstiltak som er nødvendige for å redusere faren for tap av menneskeliv og store verdier ved flom og skred som kan ramme eksisterende bebyggelse og tiltak for forbedring av vassdragsmiljøet der det er forringet av tidligere inngrep. Målgruppene er private grunneiere, grunneierlag, borettslag, sameier og selskaper som ønsker å gjennomføre slike tiltak i egen regi. Ordningen omfatter tiltak som det er mer hensiktsmessig å gjennomføre i privat regi enn i regi av kommunen eller staten.</w:t>
      </w:r>
    </w:p>
    <w:p w:rsidR="00880768" w:rsidRDefault="00880768" w:rsidP="00880768">
      <w:pPr>
        <w:pStyle w:val="avsnitt-undertittel"/>
      </w:pPr>
      <w:r>
        <w:t>Tildelings- og oppfølgingskriterier</w:t>
      </w:r>
    </w:p>
    <w:p w:rsidR="00880768" w:rsidRDefault="00880768" w:rsidP="00880768">
      <w:r>
        <w:t>Søknader om tilskudd til private skal prioriteres etter samfunnsøkonomiske kriterier slik at sa</w:t>
      </w:r>
      <w:r>
        <w:t>m</w:t>
      </w:r>
      <w:r>
        <w:t>funnet får mest mulig igjen i form av redusert risiko for flom- og skredskader. Alle tiltak som st</w:t>
      </w:r>
      <w:r>
        <w:t>a</w:t>
      </w:r>
      <w:r>
        <w:t>ten bidrar til å realisere skal vurderes samlet med sikte på en best mulig nasjonal prioritering.</w:t>
      </w:r>
    </w:p>
    <w:p w:rsidR="00880768" w:rsidRDefault="00880768" w:rsidP="00880768">
      <w:r>
        <w:t>Ved vurdering av søknader skal det legges vekt på om søker har gjort det som må anses som rim</w:t>
      </w:r>
      <w:r>
        <w:t>e</w:t>
      </w:r>
      <w:r>
        <w:t>lig for å ta hensyn til kjent fare for flom og skred, herunder plassering og utforming av byggverk, utforming og drenering av byggetomt og utearealer og lignende. Dersom det ikke er tatt tilstrekk</w:t>
      </w:r>
      <w:r>
        <w:t>e</w:t>
      </w:r>
      <w:r>
        <w:t>lig hensyn til kjente farer, kan søknader avslås eller kravet om egenandel økes. Det samme gjelder dersom flom- eller skredfaren er en følge av terrenginngrep eller andre tiltak som søker eller annen part har ansvaret for.</w:t>
      </w:r>
    </w:p>
    <w:p w:rsidR="00880768" w:rsidRDefault="00880768" w:rsidP="00880768">
      <w:r>
        <w:t xml:space="preserve">Tilskudd kan gis til utredning, planlegging og gjennomføring av fysiske sikringstiltak mot flom og skred, og til miljøtiltak i vassdrag. </w:t>
      </w:r>
    </w:p>
    <w:p w:rsidR="00880768" w:rsidRDefault="00880768" w:rsidP="00880768">
      <w:r>
        <w:t>NVE er ansvarlig for tildeling av midler og oppfølging av ordningen. Ordningen kunngjøres på NVEs nettsider.</w:t>
      </w:r>
    </w:p>
    <w:p w:rsidR="00880768" w:rsidRDefault="00880768" w:rsidP="00880768">
      <w:pPr>
        <w:pStyle w:val="avsnitt-undertittel"/>
      </w:pPr>
      <w:r>
        <w:lastRenderedPageBreak/>
        <w:t>Resultatrapport 2017</w:t>
      </w:r>
    </w:p>
    <w:p w:rsidR="00880768" w:rsidRDefault="00880768" w:rsidP="00880768">
      <w:r>
        <w:t>NVE har utbetalt om lag 2,3 mill. kroner i tilskudd til private, i hovedsak til skredsikring av boliger på Vestlandet og til miljøtiltak.</w:t>
      </w:r>
    </w:p>
    <w:p w:rsidR="00880768" w:rsidRDefault="00880768" w:rsidP="00880768">
      <w:pPr>
        <w:pStyle w:val="b-post"/>
      </w:pPr>
      <w:r>
        <w:t>Post 73 Tilskudd til utjevning av overføringstariffer, kan overføres</w:t>
      </w:r>
    </w:p>
    <w:p w:rsidR="00880768" w:rsidRDefault="00880768" w:rsidP="00880768">
      <w:r>
        <w:t>Det foreslås ikke å bevilge tilskudd til utjevning av overføringstariffer. Det er ønskelig med stru</w:t>
      </w:r>
      <w:r>
        <w:t>k</w:t>
      </w:r>
      <w:r>
        <w:t>turendringer blant nettselskapene som innebærer færre og mer robuste nettselskaper som har bedre forutsetninger for å tilby kostnadseffektiv drift, god forsyningssikkerhet og kvalitet i tjenesten.</w:t>
      </w:r>
    </w:p>
    <w:p w:rsidR="00880768" w:rsidRDefault="00880768" w:rsidP="00880768">
      <w:pPr>
        <w:pStyle w:val="avsnitt-tittel"/>
      </w:pPr>
      <w:r>
        <w:t>Resultatrapport 2017</w:t>
      </w:r>
    </w:p>
    <w:p w:rsidR="00880768" w:rsidRDefault="00880768" w:rsidP="00880768">
      <w:r>
        <w:t xml:space="preserve">NVE har utbetalt 10 mill. kroner i tilskudd til utjevning av overføringstariffer, som omfattet seks distribusjonsnett med til sammen om lag 13 000 sluttbrukere. Tilskudd ble gitt til selskaper med kunder i Hordaland, Møre og Romsdal, Buskerud og Nordland. </w:t>
      </w:r>
    </w:p>
    <w:p w:rsidR="00880768" w:rsidRDefault="00880768" w:rsidP="00880768">
      <w:r>
        <w:t>Selskapene som fikk tildelt støtte hadde en gjennomsnittlig nettkostnad lik eller høyere enn 55,48 øre/kWh. Tilskuddet lå mellom 1,17 og 13,1 øre/kWh.</w:t>
      </w:r>
    </w:p>
    <w:p w:rsidR="00880768" w:rsidRDefault="00880768" w:rsidP="00880768">
      <w:pPr>
        <w:pStyle w:val="b-post"/>
      </w:pPr>
      <w:r>
        <w:t>Post 74 Tilskudd til museums- og kulturminnetiltak, kan overføres</w:t>
      </w:r>
    </w:p>
    <w:p w:rsidR="00880768" w:rsidRDefault="00880768" w:rsidP="00880768">
      <w:r>
        <w:t>Det foreslås en bevilgning på 8,6 mill. kroner til museums- og kulturminnetiltak i 2019.</w:t>
      </w:r>
    </w:p>
    <w:p w:rsidR="00880768" w:rsidRDefault="00880768" w:rsidP="00880768">
      <w:pPr>
        <w:pStyle w:val="avsnitt-tittel"/>
      </w:pPr>
      <w:r>
        <w:t>Telemarkskanalen</w:t>
      </w:r>
    </w:p>
    <w:p w:rsidR="00880768" w:rsidRDefault="00880768" w:rsidP="00880768">
      <w:r>
        <w:t>Det foreslås et tilskudd på 4 mill. kroner til Telemarkskanalen som skal benyttes til rehabilitering og vedlikehold av de vassdragstekniske anleggene. Tilskuddet skal bidra til å sikre at anleggene er i samsvar med krav etter NVEs «Retningslinjer for tilsyn og revurdering av vassdragsanlegg» samt «Forskrift om sikkerhet og tilsyn med vassdragsanlegg» og vannressursloven.</w:t>
      </w:r>
    </w:p>
    <w:p w:rsidR="00880768" w:rsidRDefault="00880768" w:rsidP="00880768">
      <w:pPr>
        <w:pStyle w:val="avsnitt-undertittel"/>
      </w:pPr>
      <w:r>
        <w:t>Resultatrapport 2017</w:t>
      </w:r>
    </w:p>
    <w:p w:rsidR="00880768" w:rsidRDefault="00880768" w:rsidP="00880768">
      <w:r>
        <w:t>NVE har utbetalt 6 mill. kroner i tilskudd til Telemarkskanalen til rehabilitering og vedlikehold av de vassdragstekniske anleggene. Arbeidet har i hovedsak vært på slusene Vrangfoss, Damfossen og Skien. Det er også utført sikring og reparasjoner etter erosjon og flomskader flere steder langs vassdraget.</w:t>
      </w:r>
    </w:p>
    <w:p w:rsidR="00880768" w:rsidRDefault="00880768" w:rsidP="00880768">
      <w:pPr>
        <w:pStyle w:val="avsnitt-tittel"/>
      </w:pPr>
      <w:r>
        <w:t xml:space="preserve">Norsk Vasskraft- og Industristadmuseum </w:t>
      </w:r>
    </w:p>
    <w:p w:rsidR="00880768" w:rsidRDefault="00880768" w:rsidP="00880768">
      <w:r>
        <w:t>Det foreslås et tilskudd på 2,75 mill. kroner til Norsk Vasskraft- og Industristadmuseum som skal dekke lønns- og prosjektmidler til ett årsverk ved museet og vedlikehold av det fredede kraftanle</w:t>
      </w:r>
      <w:r>
        <w:t>g</w:t>
      </w:r>
      <w:r>
        <w:t>get Tysso I. Tilskuddet skal bidra til å formidle og dokumentere historien innenfor energi- og vas</w:t>
      </w:r>
      <w:r>
        <w:t>s</w:t>
      </w:r>
      <w:r>
        <w:t>dragssektoren med hovedvekt på vannkraft, kraftoverføring, flom, konsekvenser av inngrep, samt miljøtiltak og vern av vassdrag. Videre skal midlene benyttes til drift og videreutvikling av net</w:t>
      </w:r>
      <w:r>
        <w:t>t</w:t>
      </w:r>
      <w:r>
        <w:t>stedene flommer.no og vasskrafta.no, samt å utvikle og arrangere ulike aktiviteter for undervi</w:t>
      </w:r>
      <w:r>
        <w:t>s</w:t>
      </w:r>
      <w:r>
        <w:t>ningssektoren.</w:t>
      </w:r>
    </w:p>
    <w:p w:rsidR="00880768" w:rsidRDefault="00880768" w:rsidP="00880768">
      <w:pPr>
        <w:pStyle w:val="avsnitt-undertittel"/>
      </w:pPr>
      <w:r>
        <w:t>Resultatrapport 2017</w:t>
      </w:r>
    </w:p>
    <w:p w:rsidR="00880768" w:rsidRDefault="00880768" w:rsidP="00880768">
      <w:r>
        <w:t>NVE har utbetalt 1,75 mill. kroner i tilskudd til Norsk Vasskraft- og Industristadmuseum. Museet har lagt vekt på formidling med opplegg for undervisning i skolen. Norsk Vasskraft- og Industr</w:t>
      </w:r>
      <w:r>
        <w:t>i</w:t>
      </w:r>
      <w:r>
        <w:t xml:space="preserve">stadmuseum har deltatt i NVEs prosjekt om dokumentasjon av kulturminner, bidratt med foto og film til et prosjekt knyttet til formidling av utbyggingen i Alta, og til kartlegging og forberedelse av </w:t>
      </w:r>
      <w:r>
        <w:lastRenderedPageBreak/>
        <w:t>digitalt løft for felles kulturhistoriske data i NVE. Av tilskuddet er 0,9 mill. kroner brukt til peri</w:t>
      </w:r>
      <w:r>
        <w:t>o</w:t>
      </w:r>
      <w:r>
        <w:t>disk vedlikehold av det fredede kraftanlegget Tysso I.</w:t>
      </w:r>
    </w:p>
    <w:p w:rsidR="00880768" w:rsidRDefault="00880768" w:rsidP="00880768">
      <w:pPr>
        <w:pStyle w:val="avsnitt-tittel"/>
      </w:pPr>
      <w:r>
        <w:t>Norsk Skogmuseum</w:t>
      </w:r>
    </w:p>
    <w:p w:rsidR="00880768" w:rsidRDefault="00880768" w:rsidP="00880768">
      <w:r>
        <w:t>Det foreslås et tilskudd på 1,85 mill. kroner til Norsk Skogmuseum som skal dekke lønns- og pr</w:t>
      </w:r>
      <w:r>
        <w:t>o</w:t>
      </w:r>
      <w:r>
        <w:t>sjektmidler til ett årsverk ved museet. Tilskuddet skal bidra til å formidle og dokumentere historien innenfor energi- og vannressurssektoren med hovedvekt på vannkraft, kraftoverføring, flom, ko</w:t>
      </w:r>
      <w:r>
        <w:t>n</w:t>
      </w:r>
      <w:r>
        <w:t>sekvenser av inngrep, samt miljøtiltak og vern av vassdrag. Videre skal midlene benyttes til drift og videreutvikling av nettstedene flommer.no og vasskrafta.no, samt å utvikle og arrangere ulike akt</w:t>
      </w:r>
      <w:r>
        <w:t>i</w:t>
      </w:r>
      <w:r>
        <w:t>viteter for undervisningssektoren.</w:t>
      </w:r>
    </w:p>
    <w:p w:rsidR="00880768" w:rsidRDefault="00880768" w:rsidP="00880768">
      <w:pPr>
        <w:pStyle w:val="avsnitt-undertittel"/>
      </w:pPr>
      <w:r>
        <w:t>Resultatrapport 2017</w:t>
      </w:r>
    </w:p>
    <w:p w:rsidR="00880768" w:rsidRDefault="00880768" w:rsidP="00880768">
      <w:r>
        <w:t>NVE har utbetalt 0,85 mill. kroner i tilskudd til Norsk Skogmuseum. Museet har lagt vekt på fo</w:t>
      </w:r>
      <w:r>
        <w:t>r</w:t>
      </w:r>
      <w:r>
        <w:t>midling, med tilbud om undervisning og temadager for skolesektoren. Museet har også bidratt til et prosjekt om formidling av utbyggingen av Alta med innhold og utstilling, og til kartlegging og forberedelse av digitalt løft for felles kulturhistoriske data i NVE.</w:t>
      </w:r>
    </w:p>
    <w:p w:rsidR="00880768" w:rsidRDefault="00880768" w:rsidP="00880768">
      <w:pPr>
        <w:pStyle w:val="b-budkaptit"/>
      </w:pPr>
      <w:r>
        <w:t>Kap. 4820 Norges vassdrags- og energidirektorat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880768" w:rsidTr="007A7DAD">
        <w:trPr>
          <w:trHeight w:val="640"/>
        </w:trPr>
        <w:tc>
          <w:tcPr>
            <w:tcW w:w="1140" w:type="dxa"/>
            <w:shd w:val="clear" w:color="auto" w:fill="FFFFFF"/>
          </w:tcPr>
          <w:p w:rsidR="00880768" w:rsidRDefault="00880768" w:rsidP="007A7DAD">
            <w:pPr>
              <w:pStyle w:val="Tabellnavn"/>
            </w:pPr>
            <w:r>
              <w:t>KPAL</w:t>
            </w:r>
          </w:p>
        </w:tc>
        <w:tc>
          <w:tcPr>
            <w:tcW w:w="4560" w:type="dxa"/>
          </w:tcPr>
          <w:p w:rsidR="00880768" w:rsidRDefault="00880768" w:rsidP="007A7DAD">
            <w:pPr>
              <w:pStyle w:val="Tabellnavn"/>
            </w:pPr>
          </w:p>
        </w:tc>
        <w:tc>
          <w:tcPr>
            <w:tcW w:w="1140" w:type="dxa"/>
          </w:tcPr>
          <w:p w:rsidR="00880768" w:rsidRDefault="00880768" w:rsidP="007A7DAD">
            <w:pPr>
              <w:pStyle w:val="Tabellnavn"/>
              <w:jc w:val="right"/>
            </w:pPr>
          </w:p>
        </w:tc>
        <w:tc>
          <w:tcPr>
            <w:tcW w:w="1140" w:type="dxa"/>
          </w:tcPr>
          <w:p w:rsidR="00880768" w:rsidRDefault="00880768" w:rsidP="007A7DAD">
            <w:pPr>
              <w:pStyle w:val="Tabellnavn"/>
              <w:jc w:val="right"/>
            </w:pPr>
          </w:p>
        </w:tc>
        <w:tc>
          <w:tcPr>
            <w:tcW w:w="1140" w:type="dxa"/>
          </w:tcPr>
          <w:p w:rsidR="00880768" w:rsidRDefault="00880768" w:rsidP="007A7DAD">
            <w:pPr>
              <w:jc w:val="right"/>
            </w:pPr>
            <w:r>
              <w:t>(i 1 000 kr)</w:t>
            </w:r>
          </w:p>
        </w:tc>
      </w:tr>
      <w:tr w:rsidR="00880768" w:rsidTr="007A7DAD">
        <w:trPr>
          <w:trHeight w:val="600"/>
        </w:trPr>
        <w:tc>
          <w:tcPr>
            <w:tcW w:w="1140" w:type="dxa"/>
          </w:tcPr>
          <w:p w:rsidR="00880768" w:rsidRDefault="00880768" w:rsidP="007A7DAD">
            <w:r>
              <w:t>Post</w:t>
            </w:r>
          </w:p>
        </w:tc>
        <w:tc>
          <w:tcPr>
            <w:tcW w:w="4560" w:type="dxa"/>
          </w:tcPr>
          <w:p w:rsidR="00880768" w:rsidRDefault="00880768" w:rsidP="007A7DAD">
            <w:r>
              <w:t>Betegnelse</w:t>
            </w:r>
          </w:p>
        </w:tc>
        <w:tc>
          <w:tcPr>
            <w:tcW w:w="1140" w:type="dxa"/>
          </w:tcPr>
          <w:p w:rsidR="00880768" w:rsidRDefault="00880768" w:rsidP="007A7DAD">
            <w:pPr>
              <w:jc w:val="right"/>
            </w:pPr>
            <w:r>
              <w:t>Reg</w:t>
            </w:r>
            <w:r>
              <w:t>n</w:t>
            </w:r>
            <w:r>
              <w:t>skap 2017</w:t>
            </w:r>
          </w:p>
        </w:tc>
        <w:tc>
          <w:tcPr>
            <w:tcW w:w="1140" w:type="dxa"/>
          </w:tcPr>
          <w:p w:rsidR="00880768" w:rsidRDefault="00880768" w:rsidP="007A7DAD">
            <w:pPr>
              <w:jc w:val="right"/>
            </w:pPr>
            <w:r>
              <w:t xml:space="preserve">Saldert </w:t>
            </w:r>
            <w:r>
              <w:rPr>
                <w:sz w:val="22"/>
              </w:rPr>
              <w:br/>
            </w:r>
            <w:r>
              <w:t>budsjett 2018</w:t>
            </w:r>
          </w:p>
        </w:tc>
        <w:tc>
          <w:tcPr>
            <w:tcW w:w="1140" w:type="dxa"/>
          </w:tcPr>
          <w:p w:rsidR="00880768" w:rsidRDefault="00880768" w:rsidP="007A7DAD">
            <w:pPr>
              <w:jc w:val="right"/>
            </w:pPr>
            <w:r>
              <w:t xml:space="preserve">Forslag </w:t>
            </w:r>
            <w:r>
              <w:rPr>
                <w:sz w:val="22"/>
              </w:rPr>
              <w:br/>
            </w:r>
            <w:r>
              <w:t>2019</w:t>
            </w:r>
          </w:p>
        </w:tc>
      </w:tr>
      <w:tr w:rsidR="00880768" w:rsidTr="007A7DAD">
        <w:trPr>
          <w:trHeight w:val="380"/>
        </w:trPr>
        <w:tc>
          <w:tcPr>
            <w:tcW w:w="1140" w:type="dxa"/>
          </w:tcPr>
          <w:p w:rsidR="00880768" w:rsidRDefault="00880768" w:rsidP="007A7DAD">
            <w:r>
              <w:t>01</w:t>
            </w:r>
          </w:p>
        </w:tc>
        <w:tc>
          <w:tcPr>
            <w:tcW w:w="4560" w:type="dxa"/>
          </w:tcPr>
          <w:p w:rsidR="00880768" w:rsidRDefault="00880768" w:rsidP="007A7DAD">
            <w:r>
              <w:t xml:space="preserve">Gebyrinntekter </w:t>
            </w:r>
          </w:p>
        </w:tc>
        <w:tc>
          <w:tcPr>
            <w:tcW w:w="1140" w:type="dxa"/>
          </w:tcPr>
          <w:p w:rsidR="00880768" w:rsidRDefault="00880768" w:rsidP="007A7DAD">
            <w:pPr>
              <w:jc w:val="right"/>
            </w:pPr>
            <w:r>
              <w:t>71 868</w:t>
            </w:r>
          </w:p>
        </w:tc>
        <w:tc>
          <w:tcPr>
            <w:tcW w:w="1140" w:type="dxa"/>
          </w:tcPr>
          <w:p w:rsidR="00880768" w:rsidRDefault="00880768" w:rsidP="007A7DAD">
            <w:pPr>
              <w:jc w:val="right"/>
            </w:pPr>
            <w:r>
              <w:t>74 354</w:t>
            </w:r>
          </w:p>
        </w:tc>
        <w:tc>
          <w:tcPr>
            <w:tcW w:w="1140" w:type="dxa"/>
          </w:tcPr>
          <w:p w:rsidR="00880768" w:rsidRDefault="00880768" w:rsidP="007A7DAD">
            <w:pPr>
              <w:jc w:val="right"/>
            </w:pPr>
            <w:r>
              <w:t>78 000</w:t>
            </w:r>
          </w:p>
        </w:tc>
      </w:tr>
      <w:tr w:rsidR="00880768" w:rsidTr="007A7DAD">
        <w:trPr>
          <w:trHeight w:val="380"/>
        </w:trPr>
        <w:tc>
          <w:tcPr>
            <w:tcW w:w="1140" w:type="dxa"/>
          </w:tcPr>
          <w:p w:rsidR="00880768" w:rsidRDefault="00880768" w:rsidP="007A7DAD">
            <w:r>
              <w:t>02</w:t>
            </w:r>
          </w:p>
        </w:tc>
        <w:tc>
          <w:tcPr>
            <w:tcW w:w="4560" w:type="dxa"/>
          </w:tcPr>
          <w:p w:rsidR="00880768" w:rsidRDefault="00880768" w:rsidP="007A7DAD">
            <w:r>
              <w:t xml:space="preserve">Oppdrags- og samarbeidsinntekter </w:t>
            </w:r>
          </w:p>
        </w:tc>
        <w:tc>
          <w:tcPr>
            <w:tcW w:w="1140" w:type="dxa"/>
          </w:tcPr>
          <w:p w:rsidR="00880768" w:rsidRDefault="00880768" w:rsidP="007A7DAD">
            <w:pPr>
              <w:jc w:val="right"/>
            </w:pPr>
            <w:r>
              <w:t>83 338</w:t>
            </w:r>
          </w:p>
        </w:tc>
        <w:tc>
          <w:tcPr>
            <w:tcW w:w="1140" w:type="dxa"/>
          </w:tcPr>
          <w:p w:rsidR="00880768" w:rsidRDefault="00880768" w:rsidP="007A7DAD">
            <w:pPr>
              <w:jc w:val="right"/>
            </w:pPr>
            <w:r>
              <w:t>86 820</w:t>
            </w:r>
          </w:p>
        </w:tc>
        <w:tc>
          <w:tcPr>
            <w:tcW w:w="1140" w:type="dxa"/>
          </w:tcPr>
          <w:p w:rsidR="00880768" w:rsidRDefault="00880768" w:rsidP="007A7DAD">
            <w:pPr>
              <w:jc w:val="right"/>
            </w:pPr>
            <w:r>
              <w:t>89 000</w:t>
            </w:r>
          </w:p>
        </w:tc>
      </w:tr>
      <w:tr w:rsidR="00880768" w:rsidTr="007A7DAD">
        <w:trPr>
          <w:trHeight w:val="380"/>
        </w:trPr>
        <w:tc>
          <w:tcPr>
            <w:tcW w:w="1140" w:type="dxa"/>
          </w:tcPr>
          <w:p w:rsidR="00880768" w:rsidRDefault="00880768" w:rsidP="007A7DAD">
            <w:r>
              <w:t>10</w:t>
            </w:r>
          </w:p>
        </w:tc>
        <w:tc>
          <w:tcPr>
            <w:tcW w:w="4560" w:type="dxa"/>
          </w:tcPr>
          <w:p w:rsidR="00880768" w:rsidRDefault="00880768" w:rsidP="007A7DAD">
            <w:r>
              <w:t xml:space="preserve">Refusjoner </w:t>
            </w:r>
          </w:p>
        </w:tc>
        <w:tc>
          <w:tcPr>
            <w:tcW w:w="1140" w:type="dxa"/>
          </w:tcPr>
          <w:p w:rsidR="00880768" w:rsidRDefault="00880768" w:rsidP="007A7DAD">
            <w:pPr>
              <w:jc w:val="right"/>
            </w:pPr>
            <w:r>
              <w:t>9 766</w:t>
            </w:r>
          </w:p>
        </w:tc>
        <w:tc>
          <w:tcPr>
            <w:tcW w:w="1140" w:type="dxa"/>
          </w:tcPr>
          <w:p w:rsidR="00880768" w:rsidRDefault="00880768" w:rsidP="007A7DAD">
            <w:pPr>
              <w:jc w:val="right"/>
            </w:pPr>
          </w:p>
        </w:tc>
        <w:tc>
          <w:tcPr>
            <w:tcW w:w="1140" w:type="dxa"/>
          </w:tcPr>
          <w:p w:rsidR="00880768" w:rsidRDefault="00880768" w:rsidP="007A7DAD">
            <w:pPr>
              <w:jc w:val="right"/>
            </w:pPr>
          </w:p>
        </w:tc>
      </w:tr>
      <w:tr w:rsidR="00880768" w:rsidTr="007A7DAD">
        <w:trPr>
          <w:trHeight w:val="380"/>
        </w:trPr>
        <w:tc>
          <w:tcPr>
            <w:tcW w:w="1140" w:type="dxa"/>
          </w:tcPr>
          <w:p w:rsidR="00880768" w:rsidRDefault="00880768" w:rsidP="007A7DAD">
            <w:r>
              <w:t>40</w:t>
            </w:r>
          </w:p>
        </w:tc>
        <w:tc>
          <w:tcPr>
            <w:tcW w:w="4560" w:type="dxa"/>
          </w:tcPr>
          <w:p w:rsidR="00880768" w:rsidRDefault="00880768" w:rsidP="007A7DAD">
            <w:r>
              <w:t xml:space="preserve">Flom- og skredforebygging </w:t>
            </w:r>
          </w:p>
        </w:tc>
        <w:tc>
          <w:tcPr>
            <w:tcW w:w="1140" w:type="dxa"/>
          </w:tcPr>
          <w:p w:rsidR="00880768" w:rsidRDefault="00880768" w:rsidP="007A7DAD">
            <w:pPr>
              <w:jc w:val="right"/>
            </w:pPr>
            <w:r>
              <w:t>26 377</w:t>
            </w:r>
          </w:p>
        </w:tc>
        <w:tc>
          <w:tcPr>
            <w:tcW w:w="1140" w:type="dxa"/>
          </w:tcPr>
          <w:p w:rsidR="00880768" w:rsidRDefault="00880768" w:rsidP="007A7DAD">
            <w:pPr>
              <w:jc w:val="right"/>
            </w:pPr>
            <w:r>
              <w:t>21 000</w:t>
            </w:r>
          </w:p>
        </w:tc>
        <w:tc>
          <w:tcPr>
            <w:tcW w:w="1140" w:type="dxa"/>
          </w:tcPr>
          <w:p w:rsidR="00880768" w:rsidRDefault="00880768" w:rsidP="007A7DAD">
            <w:pPr>
              <w:jc w:val="right"/>
            </w:pPr>
            <w:r>
              <w:t>27 000</w:t>
            </w:r>
          </w:p>
        </w:tc>
      </w:tr>
      <w:tr w:rsidR="00880768" w:rsidTr="007A7DAD">
        <w:trPr>
          <w:trHeight w:val="380"/>
        </w:trPr>
        <w:tc>
          <w:tcPr>
            <w:tcW w:w="1140" w:type="dxa"/>
          </w:tcPr>
          <w:p w:rsidR="00880768" w:rsidRDefault="00880768" w:rsidP="007A7DAD"/>
        </w:tc>
        <w:tc>
          <w:tcPr>
            <w:tcW w:w="4560" w:type="dxa"/>
          </w:tcPr>
          <w:p w:rsidR="00880768" w:rsidRDefault="00880768" w:rsidP="007A7DAD">
            <w:r>
              <w:t>Sum kap. 4820</w:t>
            </w:r>
          </w:p>
        </w:tc>
        <w:tc>
          <w:tcPr>
            <w:tcW w:w="1140" w:type="dxa"/>
          </w:tcPr>
          <w:p w:rsidR="00880768" w:rsidRDefault="00880768" w:rsidP="007A7DAD">
            <w:pPr>
              <w:jc w:val="right"/>
            </w:pPr>
            <w:r>
              <w:t>191 349</w:t>
            </w:r>
          </w:p>
        </w:tc>
        <w:tc>
          <w:tcPr>
            <w:tcW w:w="1140" w:type="dxa"/>
          </w:tcPr>
          <w:p w:rsidR="00880768" w:rsidRDefault="00880768" w:rsidP="007A7DAD">
            <w:pPr>
              <w:jc w:val="right"/>
            </w:pPr>
            <w:r>
              <w:t>182 174</w:t>
            </w:r>
          </w:p>
        </w:tc>
        <w:tc>
          <w:tcPr>
            <w:tcW w:w="1140" w:type="dxa"/>
          </w:tcPr>
          <w:p w:rsidR="00880768" w:rsidRDefault="00880768" w:rsidP="007A7DAD">
            <w:pPr>
              <w:jc w:val="right"/>
            </w:pPr>
            <w:r>
              <w:t>194 000</w:t>
            </w:r>
          </w:p>
        </w:tc>
      </w:tr>
    </w:tbl>
    <w:p w:rsidR="00880768" w:rsidRDefault="00880768" w:rsidP="00880768">
      <w:pPr>
        <w:pStyle w:val="b-post"/>
      </w:pPr>
      <w:r>
        <w:t>Post 01 Gebyrinntekter</w:t>
      </w:r>
    </w:p>
    <w:p w:rsidR="00880768" w:rsidRDefault="00880768" w:rsidP="00880768">
      <w:r>
        <w:t>Posten omfatter gebyrinntekter fra sikkerhetstilsyn med dammer og andre vassdragsanlegg, tilsyn med elektriske anlegg og fjernvarmeanlegg, godkjenning av anlegg under elsertifikatordningen, miljøtilsyn, beredskapstilsyn og tilsyn med utenlandskonsesjoner.</w:t>
      </w:r>
    </w:p>
    <w:p w:rsidR="00880768" w:rsidRDefault="00880768" w:rsidP="00880768">
      <w:pPr>
        <w:pStyle w:val="b-post"/>
      </w:pPr>
      <w:r>
        <w:t>Post 02 Oppdrags- og samarbeidsinntekter</w:t>
      </w:r>
    </w:p>
    <w:p w:rsidR="00880768" w:rsidRDefault="00880768" w:rsidP="00880768">
      <w:r>
        <w:t>Posten omfatter inntekter fra oppdrags- og samarbeidsvirksomheten, jf. kap. 1820, post 23.</w:t>
      </w:r>
    </w:p>
    <w:p w:rsidR="00880768" w:rsidRDefault="00880768" w:rsidP="00880768">
      <w:pPr>
        <w:pStyle w:val="b-post"/>
      </w:pPr>
      <w:r>
        <w:t>Post 40 Flom- og skredforebygging</w:t>
      </w:r>
    </w:p>
    <w:p w:rsidR="00880768" w:rsidRDefault="00880768" w:rsidP="00880768">
      <w:r>
        <w:t xml:space="preserve">Posten omfatter inntekter fra kommuner mv. for sikrings- og miljøtiltak som er gjennomført i regi av NVE. Kommunene må normalt dekke en distriktsandel som utgjør 20 prosent av totalkostnaden. </w:t>
      </w:r>
    </w:p>
    <w:p w:rsidR="00880768" w:rsidRDefault="00880768" w:rsidP="00880768">
      <w:r>
        <w:t>Det kreves ikke distriktsandel for krisetiltak. Dette er tiltak som er nødvendige for å avverge ove</w:t>
      </w:r>
      <w:r>
        <w:t>r</w:t>
      </w:r>
      <w:r>
        <w:t>hengende fare under og rett etter en hendelse. Det er også praksis for at distriktsandelen kan red</w:t>
      </w:r>
      <w:r>
        <w:t>u</w:t>
      </w:r>
      <w:r>
        <w:t xml:space="preserve">seres for tiltak som primært er begrunnet med allmenne hensyn. </w:t>
      </w:r>
    </w:p>
    <w:p w:rsidR="00880768" w:rsidRDefault="00880768" w:rsidP="00880768">
      <w:r>
        <w:lastRenderedPageBreak/>
        <w:t xml:space="preserve">Distriktsandel for hastetiltak er 10 prosent. Hastetiltak er tiltak som må gjennomføres raskt for å avverge eller redusere ytterligere skadeutvikling, men der det likevel er tid til forenklet planlegging og saksbehandling. </w:t>
      </w:r>
    </w:p>
    <w:p w:rsidR="00880768" w:rsidRDefault="00880768" w:rsidP="00880768">
      <w:pPr>
        <w:pStyle w:val="Undertittel"/>
      </w:pPr>
      <w:r>
        <w:t>NVE Anlegg</w:t>
      </w:r>
    </w:p>
    <w:p w:rsidR="00880768" w:rsidRDefault="00880768" w:rsidP="00880768">
      <w:r>
        <w:t>Det er etablert et regnskapsmessig skille mellom NVEs forvaltningsoppgaver og entreprenørop</w:t>
      </w:r>
      <w:r>
        <w:t>p</w:t>
      </w:r>
      <w:r>
        <w:t>gaver knyttet til NVEs sikringsarbeid. Anleggsvirksomheten er ikke organisatorisk skilt ut fra NVE som egen forretningsdrift.</w:t>
      </w:r>
    </w:p>
    <w:p w:rsidR="00880768" w:rsidRDefault="00880768" w:rsidP="00880768">
      <w:r>
        <w:t>NVE Anlegg utfører sikrings- og miljøtiltak i vassdrag og andre vassdragsrelaterte tiltak, samt skredforebyggende arbeid. Anleggsvirksomheten skal utøve sine oppgaver på en mest mulig kos</w:t>
      </w:r>
      <w:r>
        <w:t>t</w:t>
      </w:r>
      <w:r>
        <w:t xml:space="preserve">nadseffektiv og rasjonell måte og samtidig sikre høy kvalitet med hensyn til sikkerhet og miljø. Det er et mål at NVE Anlegg skal gå i driftsmessig balanse. </w:t>
      </w:r>
    </w:p>
    <w:p w:rsidR="00880768" w:rsidRDefault="00880768" w:rsidP="00880768">
      <w:r>
        <w:t>NVE Anleggs utførelse skal avgrenses til krevende sikringstiltak som er viktige for å bevare ko</w:t>
      </w:r>
      <w:r>
        <w:t>m</w:t>
      </w:r>
      <w:r>
        <w:t xml:space="preserve">petanse i NVE med sikte på å kunne bistå og rådgi kommuner i beredskapssituasjoner. </w:t>
      </w:r>
    </w:p>
    <w:p w:rsidR="00532ECF" w:rsidRDefault="00532ECF" w:rsidP="0063539A">
      <w:pPr>
        <w:pStyle w:val="tabell-tittel"/>
      </w:pPr>
      <w:r>
        <w:rPr>
          <w:sz w:val="21"/>
          <w:szCs w:val="21"/>
        </w:rPr>
        <w:t>Kapitalbalanse for NVE Anlegg</w:t>
      </w:r>
    </w:p>
    <w:p w:rsidR="00880768" w:rsidRDefault="00880768" w:rsidP="00880768">
      <w:pPr>
        <w:pStyle w:val="Tabellnavn"/>
      </w:pPr>
      <w:r>
        <w:t>07J1xt2</w:t>
      </w:r>
    </w:p>
    <w:tbl>
      <w:tblPr>
        <w:tblStyle w:val="StandardTabell"/>
        <w:tblW w:w="0" w:type="auto"/>
        <w:tblLayout w:type="fixed"/>
        <w:tblLook w:val="04A0" w:firstRow="1" w:lastRow="0" w:firstColumn="1" w:lastColumn="0" w:noHBand="0" w:noVBand="1"/>
      </w:tblPr>
      <w:tblGrid>
        <w:gridCol w:w="2300"/>
        <w:gridCol w:w="1080"/>
        <w:gridCol w:w="1080"/>
        <w:gridCol w:w="360"/>
        <w:gridCol w:w="2540"/>
        <w:gridCol w:w="1080"/>
        <w:gridCol w:w="1080"/>
      </w:tblGrid>
      <w:tr w:rsidR="00880768" w:rsidTr="00880768">
        <w:trPr>
          <w:trHeight w:val="360"/>
        </w:trPr>
        <w:tc>
          <w:tcPr>
            <w:tcW w:w="2300" w:type="dxa"/>
          </w:tcPr>
          <w:p w:rsidR="00880768" w:rsidRDefault="00880768" w:rsidP="00880768">
            <w:r>
              <w:t>Eiendeler</w:t>
            </w:r>
          </w:p>
        </w:tc>
        <w:tc>
          <w:tcPr>
            <w:tcW w:w="1080" w:type="dxa"/>
          </w:tcPr>
          <w:p w:rsidR="00880768" w:rsidRDefault="00880768" w:rsidP="00880768">
            <w:r>
              <w:t>2016</w:t>
            </w:r>
          </w:p>
        </w:tc>
        <w:tc>
          <w:tcPr>
            <w:tcW w:w="1080" w:type="dxa"/>
          </w:tcPr>
          <w:p w:rsidR="00880768" w:rsidRDefault="00880768" w:rsidP="00880768">
            <w:r>
              <w:t>2017</w:t>
            </w:r>
          </w:p>
        </w:tc>
        <w:tc>
          <w:tcPr>
            <w:tcW w:w="360" w:type="dxa"/>
          </w:tcPr>
          <w:p w:rsidR="00880768" w:rsidRDefault="00880768" w:rsidP="00880768"/>
        </w:tc>
        <w:tc>
          <w:tcPr>
            <w:tcW w:w="2540" w:type="dxa"/>
          </w:tcPr>
          <w:p w:rsidR="00880768" w:rsidRDefault="00880768" w:rsidP="00880768">
            <w:r>
              <w:t>Egenkapital og gjeld</w:t>
            </w:r>
          </w:p>
        </w:tc>
        <w:tc>
          <w:tcPr>
            <w:tcW w:w="1080" w:type="dxa"/>
          </w:tcPr>
          <w:p w:rsidR="00880768" w:rsidRDefault="00880768" w:rsidP="00880768">
            <w:r>
              <w:t>2016</w:t>
            </w:r>
          </w:p>
        </w:tc>
        <w:tc>
          <w:tcPr>
            <w:tcW w:w="1080" w:type="dxa"/>
          </w:tcPr>
          <w:p w:rsidR="00880768" w:rsidRDefault="00880768" w:rsidP="00880768">
            <w:r>
              <w:t>2017</w:t>
            </w:r>
          </w:p>
        </w:tc>
      </w:tr>
      <w:tr w:rsidR="00880768" w:rsidTr="00880768">
        <w:trPr>
          <w:trHeight w:val="380"/>
        </w:trPr>
        <w:tc>
          <w:tcPr>
            <w:tcW w:w="2300" w:type="dxa"/>
          </w:tcPr>
          <w:p w:rsidR="00880768" w:rsidRDefault="00880768" w:rsidP="00880768">
            <w:r>
              <w:rPr>
                <w:rStyle w:val="kursiv"/>
                <w:sz w:val="21"/>
                <w:szCs w:val="21"/>
              </w:rPr>
              <w:t>Anleggsmidler:</w:t>
            </w:r>
          </w:p>
        </w:tc>
        <w:tc>
          <w:tcPr>
            <w:tcW w:w="1080" w:type="dxa"/>
          </w:tcPr>
          <w:p w:rsidR="00880768" w:rsidRDefault="00880768" w:rsidP="00880768"/>
        </w:tc>
        <w:tc>
          <w:tcPr>
            <w:tcW w:w="1080" w:type="dxa"/>
          </w:tcPr>
          <w:p w:rsidR="00880768" w:rsidRDefault="00880768" w:rsidP="00880768"/>
        </w:tc>
        <w:tc>
          <w:tcPr>
            <w:tcW w:w="360" w:type="dxa"/>
          </w:tcPr>
          <w:p w:rsidR="00880768" w:rsidRDefault="00880768" w:rsidP="00880768"/>
        </w:tc>
        <w:tc>
          <w:tcPr>
            <w:tcW w:w="2540" w:type="dxa"/>
          </w:tcPr>
          <w:p w:rsidR="00880768" w:rsidRDefault="00880768" w:rsidP="00880768">
            <w:r>
              <w:rPr>
                <w:rStyle w:val="kursiv"/>
                <w:sz w:val="21"/>
                <w:szCs w:val="21"/>
              </w:rPr>
              <w:t>Egenkapital:</w:t>
            </w:r>
          </w:p>
        </w:tc>
        <w:tc>
          <w:tcPr>
            <w:tcW w:w="1080" w:type="dxa"/>
          </w:tcPr>
          <w:p w:rsidR="00880768" w:rsidRDefault="00880768" w:rsidP="00880768"/>
        </w:tc>
        <w:tc>
          <w:tcPr>
            <w:tcW w:w="1080" w:type="dxa"/>
          </w:tcPr>
          <w:p w:rsidR="00880768" w:rsidRDefault="00880768" w:rsidP="00880768"/>
        </w:tc>
      </w:tr>
      <w:tr w:rsidR="00880768" w:rsidTr="00880768">
        <w:trPr>
          <w:trHeight w:val="640"/>
        </w:trPr>
        <w:tc>
          <w:tcPr>
            <w:tcW w:w="2300" w:type="dxa"/>
          </w:tcPr>
          <w:p w:rsidR="00880768" w:rsidRDefault="00880768" w:rsidP="00880768">
            <w:r>
              <w:t>Anleggskapital</w:t>
            </w:r>
          </w:p>
        </w:tc>
        <w:tc>
          <w:tcPr>
            <w:tcW w:w="1080" w:type="dxa"/>
          </w:tcPr>
          <w:p w:rsidR="00880768" w:rsidRDefault="00880768" w:rsidP="00880768">
            <w:r>
              <w:t>17 405 651</w:t>
            </w:r>
          </w:p>
        </w:tc>
        <w:tc>
          <w:tcPr>
            <w:tcW w:w="1080" w:type="dxa"/>
          </w:tcPr>
          <w:p w:rsidR="00880768" w:rsidRDefault="00880768" w:rsidP="00880768">
            <w:r>
              <w:t>13 609 224</w:t>
            </w:r>
          </w:p>
        </w:tc>
        <w:tc>
          <w:tcPr>
            <w:tcW w:w="360" w:type="dxa"/>
          </w:tcPr>
          <w:p w:rsidR="00880768" w:rsidRDefault="00880768" w:rsidP="00880768"/>
        </w:tc>
        <w:tc>
          <w:tcPr>
            <w:tcW w:w="2540" w:type="dxa"/>
          </w:tcPr>
          <w:p w:rsidR="00880768" w:rsidRDefault="00880768" w:rsidP="00880768">
            <w:r>
              <w:t xml:space="preserve">Egenkapital uten </w:t>
            </w:r>
            <w:r>
              <w:rPr>
                <w:sz w:val="22"/>
              </w:rPr>
              <w:br/>
            </w:r>
            <w:r>
              <w:t>reguleringsfond</w:t>
            </w:r>
          </w:p>
        </w:tc>
        <w:tc>
          <w:tcPr>
            <w:tcW w:w="1080" w:type="dxa"/>
          </w:tcPr>
          <w:p w:rsidR="00880768" w:rsidRDefault="00880768" w:rsidP="00880768">
            <w:r>
              <w:t>10 974 849</w:t>
            </w:r>
          </w:p>
        </w:tc>
        <w:tc>
          <w:tcPr>
            <w:tcW w:w="1080" w:type="dxa"/>
          </w:tcPr>
          <w:p w:rsidR="00880768" w:rsidRDefault="00880768" w:rsidP="00880768">
            <w:r>
              <w:t>11 194 349</w:t>
            </w:r>
          </w:p>
        </w:tc>
      </w:tr>
      <w:tr w:rsidR="00880768" w:rsidTr="00880768">
        <w:trPr>
          <w:trHeight w:val="380"/>
        </w:trPr>
        <w:tc>
          <w:tcPr>
            <w:tcW w:w="2300" w:type="dxa"/>
          </w:tcPr>
          <w:p w:rsidR="00880768" w:rsidRDefault="00880768" w:rsidP="00880768"/>
        </w:tc>
        <w:tc>
          <w:tcPr>
            <w:tcW w:w="1080" w:type="dxa"/>
          </w:tcPr>
          <w:p w:rsidR="00880768" w:rsidRDefault="00880768" w:rsidP="00880768"/>
        </w:tc>
        <w:tc>
          <w:tcPr>
            <w:tcW w:w="1080" w:type="dxa"/>
          </w:tcPr>
          <w:p w:rsidR="00880768" w:rsidRDefault="00880768" w:rsidP="00880768"/>
        </w:tc>
        <w:tc>
          <w:tcPr>
            <w:tcW w:w="360" w:type="dxa"/>
          </w:tcPr>
          <w:p w:rsidR="00880768" w:rsidRDefault="00880768" w:rsidP="00880768"/>
        </w:tc>
        <w:tc>
          <w:tcPr>
            <w:tcW w:w="2540" w:type="dxa"/>
          </w:tcPr>
          <w:p w:rsidR="00880768" w:rsidRDefault="00880768" w:rsidP="00880768">
            <w:r>
              <w:t>Reguleringsfond</w:t>
            </w:r>
          </w:p>
        </w:tc>
        <w:tc>
          <w:tcPr>
            <w:tcW w:w="1080" w:type="dxa"/>
          </w:tcPr>
          <w:p w:rsidR="00880768" w:rsidRDefault="00880768" w:rsidP="00880768">
            <w:r>
              <w:t>20 778 731</w:t>
            </w:r>
          </w:p>
        </w:tc>
        <w:tc>
          <w:tcPr>
            <w:tcW w:w="1080" w:type="dxa"/>
          </w:tcPr>
          <w:p w:rsidR="00880768" w:rsidRDefault="00880768" w:rsidP="00880768">
            <w:r>
              <w:t>9 594 331</w:t>
            </w:r>
          </w:p>
        </w:tc>
      </w:tr>
      <w:tr w:rsidR="00880768" w:rsidTr="00880768">
        <w:trPr>
          <w:trHeight w:val="380"/>
        </w:trPr>
        <w:tc>
          <w:tcPr>
            <w:tcW w:w="2300" w:type="dxa"/>
          </w:tcPr>
          <w:p w:rsidR="00880768" w:rsidRDefault="00880768" w:rsidP="00880768">
            <w:r>
              <w:t>Sum anleggsmidler</w:t>
            </w:r>
          </w:p>
        </w:tc>
        <w:tc>
          <w:tcPr>
            <w:tcW w:w="1080" w:type="dxa"/>
          </w:tcPr>
          <w:p w:rsidR="00880768" w:rsidRDefault="00880768" w:rsidP="00880768">
            <w:r>
              <w:t>17 405 651</w:t>
            </w:r>
          </w:p>
        </w:tc>
        <w:tc>
          <w:tcPr>
            <w:tcW w:w="1080" w:type="dxa"/>
          </w:tcPr>
          <w:p w:rsidR="00880768" w:rsidRDefault="00880768" w:rsidP="00880768">
            <w:r>
              <w:t>13 609 224</w:t>
            </w:r>
          </w:p>
        </w:tc>
        <w:tc>
          <w:tcPr>
            <w:tcW w:w="360" w:type="dxa"/>
          </w:tcPr>
          <w:p w:rsidR="00880768" w:rsidRDefault="00880768" w:rsidP="00880768"/>
        </w:tc>
        <w:tc>
          <w:tcPr>
            <w:tcW w:w="2540" w:type="dxa"/>
          </w:tcPr>
          <w:p w:rsidR="00880768" w:rsidRDefault="00880768" w:rsidP="00880768">
            <w:r>
              <w:t>Sum egenkapital</w:t>
            </w:r>
          </w:p>
        </w:tc>
        <w:tc>
          <w:tcPr>
            <w:tcW w:w="1080" w:type="dxa"/>
          </w:tcPr>
          <w:p w:rsidR="00880768" w:rsidRDefault="00880768" w:rsidP="00880768">
            <w:r>
              <w:t>31 753 580</w:t>
            </w:r>
          </w:p>
        </w:tc>
        <w:tc>
          <w:tcPr>
            <w:tcW w:w="1080" w:type="dxa"/>
          </w:tcPr>
          <w:p w:rsidR="00880768" w:rsidRDefault="00880768" w:rsidP="00880768">
            <w:r>
              <w:t>20 788 680</w:t>
            </w:r>
          </w:p>
        </w:tc>
      </w:tr>
      <w:tr w:rsidR="00880768" w:rsidTr="00880768">
        <w:trPr>
          <w:trHeight w:val="380"/>
        </w:trPr>
        <w:tc>
          <w:tcPr>
            <w:tcW w:w="2300" w:type="dxa"/>
          </w:tcPr>
          <w:p w:rsidR="00880768" w:rsidRDefault="00880768" w:rsidP="00880768"/>
        </w:tc>
        <w:tc>
          <w:tcPr>
            <w:tcW w:w="1080" w:type="dxa"/>
          </w:tcPr>
          <w:p w:rsidR="00880768" w:rsidRDefault="00880768" w:rsidP="00880768"/>
        </w:tc>
        <w:tc>
          <w:tcPr>
            <w:tcW w:w="1080" w:type="dxa"/>
          </w:tcPr>
          <w:p w:rsidR="00880768" w:rsidRDefault="00880768" w:rsidP="00880768"/>
        </w:tc>
        <w:tc>
          <w:tcPr>
            <w:tcW w:w="360" w:type="dxa"/>
          </w:tcPr>
          <w:p w:rsidR="00880768" w:rsidRDefault="00880768" w:rsidP="00880768"/>
        </w:tc>
        <w:tc>
          <w:tcPr>
            <w:tcW w:w="2540" w:type="dxa"/>
          </w:tcPr>
          <w:p w:rsidR="00880768" w:rsidRDefault="00880768" w:rsidP="00880768"/>
        </w:tc>
        <w:tc>
          <w:tcPr>
            <w:tcW w:w="1080" w:type="dxa"/>
          </w:tcPr>
          <w:p w:rsidR="00880768" w:rsidRDefault="00880768" w:rsidP="00880768"/>
        </w:tc>
        <w:tc>
          <w:tcPr>
            <w:tcW w:w="1080" w:type="dxa"/>
          </w:tcPr>
          <w:p w:rsidR="00880768" w:rsidRDefault="00880768" w:rsidP="00880768"/>
        </w:tc>
      </w:tr>
      <w:tr w:rsidR="00880768" w:rsidTr="00880768">
        <w:trPr>
          <w:trHeight w:val="380"/>
        </w:trPr>
        <w:tc>
          <w:tcPr>
            <w:tcW w:w="2300" w:type="dxa"/>
          </w:tcPr>
          <w:p w:rsidR="00880768" w:rsidRDefault="00880768" w:rsidP="00880768">
            <w:r>
              <w:rPr>
                <w:rStyle w:val="kursiv"/>
                <w:sz w:val="21"/>
                <w:szCs w:val="21"/>
              </w:rPr>
              <w:t>Omløpsmidler:</w:t>
            </w:r>
          </w:p>
        </w:tc>
        <w:tc>
          <w:tcPr>
            <w:tcW w:w="1080" w:type="dxa"/>
          </w:tcPr>
          <w:p w:rsidR="00880768" w:rsidRDefault="00880768" w:rsidP="00880768"/>
        </w:tc>
        <w:tc>
          <w:tcPr>
            <w:tcW w:w="1080" w:type="dxa"/>
          </w:tcPr>
          <w:p w:rsidR="00880768" w:rsidRDefault="00880768" w:rsidP="00880768"/>
        </w:tc>
        <w:tc>
          <w:tcPr>
            <w:tcW w:w="360" w:type="dxa"/>
          </w:tcPr>
          <w:p w:rsidR="00880768" w:rsidRDefault="00880768" w:rsidP="00880768"/>
        </w:tc>
        <w:tc>
          <w:tcPr>
            <w:tcW w:w="2540" w:type="dxa"/>
          </w:tcPr>
          <w:p w:rsidR="00880768" w:rsidRDefault="00880768" w:rsidP="00880768">
            <w:r>
              <w:rPr>
                <w:rStyle w:val="kursiv"/>
                <w:sz w:val="21"/>
                <w:szCs w:val="21"/>
              </w:rPr>
              <w:t>Langsiktig gjeld:</w:t>
            </w:r>
          </w:p>
        </w:tc>
        <w:tc>
          <w:tcPr>
            <w:tcW w:w="1080" w:type="dxa"/>
          </w:tcPr>
          <w:p w:rsidR="00880768" w:rsidRDefault="00880768" w:rsidP="00880768"/>
        </w:tc>
        <w:tc>
          <w:tcPr>
            <w:tcW w:w="1080" w:type="dxa"/>
          </w:tcPr>
          <w:p w:rsidR="00880768" w:rsidRDefault="00880768" w:rsidP="00880768"/>
        </w:tc>
      </w:tr>
      <w:tr w:rsidR="00880768" w:rsidTr="00880768">
        <w:trPr>
          <w:trHeight w:val="640"/>
        </w:trPr>
        <w:tc>
          <w:tcPr>
            <w:tcW w:w="2300" w:type="dxa"/>
          </w:tcPr>
          <w:p w:rsidR="00880768" w:rsidRDefault="00880768" w:rsidP="00880768">
            <w:r>
              <w:t>Kortsiktige fordrin</w:t>
            </w:r>
            <w:r>
              <w:t>g</w:t>
            </w:r>
            <w:r>
              <w:t>er</w:t>
            </w:r>
          </w:p>
        </w:tc>
        <w:tc>
          <w:tcPr>
            <w:tcW w:w="1080" w:type="dxa"/>
          </w:tcPr>
          <w:p w:rsidR="00880768" w:rsidRDefault="00880768" w:rsidP="00880768">
            <w:r>
              <w:t>20 778 731</w:t>
            </w:r>
          </w:p>
        </w:tc>
        <w:tc>
          <w:tcPr>
            <w:tcW w:w="1080" w:type="dxa"/>
          </w:tcPr>
          <w:p w:rsidR="00880768" w:rsidRDefault="00880768" w:rsidP="00880768">
            <w:r>
              <w:t>9 594 331</w:t>
            </w:r>
          </w:p>
        </w:tc>
        <w:tc>
          <w:tcPr>
            <w:tcW w:w="360" w:type="dxa"/>
          </w:tcPr>
          <w:p w:rsidR="00880768" w:rsidRDefault="00880768" w:rsidP="00880768"/>
        </w:tc>
        <w:tc>
          <w:tcPr>
            <w:tcW w:w="2540" w:type="dxa"/>
          </w:tcPr>
          <w:p w:rsidR="00880768" w:rsidRDefault="00880768" w:rsidP="00880768">
            <w:r>
              <w:t>Statens rentebærende gjeld</w:t>
            </w:r>
          </w:p>
        </w:tc>
        <w:tc>
          <w:tcPr>
            <w:tcW w:w="1080" w:type="dxa"/>
          </w:tcPr>
          <w:p w:rsidR="00880768" w:rsidRDefault="00880768" w:rsidP="00880768">
            <w:r>
              <w:t>6 430 802</w:t>
            </w:r>
          </w:p>
        </w:tc>
        <w:tc>
          <w:tcPr>
            <w:tcW w:w="1080" w:type="dxa"/>
          </w:tcPr>
          <w:p w:rsidR="00880768" w:rsidRDefault="00880768" w:rsidP="00880768">
            <w:r>
              <w:t>2 414 875</w:t>
            </w:r>
          </w:p>
        </w:tc>
      </w:tr>
      <w:tr w:rsidR="00880768" w:rsidTr="00880768">
        <w:trPr>
          <w:trHeight w:val="380"/>
        </w:trPr>
        <w:tc>
          <w:tcPr>
            <w:tcW w:w="2300" w:type="dxa"/>
          </w:tcPr>
          <w:p w:rsidR="00880768" w:rsidRDefault="00880768" w:rsidP="00880768">
            <w:r>
              <w:t>Sum omløpsmidler</w:t>
            </w:r>
          </w:p>
        </w:tc>
        <w:tc>
          <w:tcPr>
            <w:tcW w:w="1080" w:type="dxa"/>
          </w:tcPr>
          <w:p w:rsidR="00880768" w:rsidRDefault="00880768" w:rsidP="00880768">
            <w:r>
              <w:t>20 778 731</w:t>
            </w:r>
          </w:p>
        </w:tc>
        <w:tc>
          <w:tcPr>
            <w:tcW w:w="1080" w:type="dxa"/>
          </w:tcPr>
          <w:p w:rsidR="00880768" w:rsidRDefault="00880768" w:rsidP="00880768">
            <w:r>
              <w:t>9 594 331</w:t>
            </w:r>
          </w:p>
        </w:tc>
        <w:tc>
          <w:tcPr>
            <w:tcW w:w="360" w:type="dxa"/>
          </w:tcPr>
          <w:p w:rsidR="00880768" w:rsidRDefault="00880768" w:rsidP="00880768"/>
        </w:tc>
        <w:tc>
          <w:tcPr>
            <w:tcW w:w="2540" w:type="dxa"/>
          </w:tcPr>
          <w:p w:rsidR="00880768" w:rsidRDefault="00880768" w:rsidP="00880768">
            <w:r>
              <w:t>Sum langsiktig gjeld</w:t>
            </w:r>
          </w:p>
        </w:tc>
        <w:tc>
          <w:tcPr>
            <w:tcW w:w="1080" w:type="dxa"/>
          </w:tcPr>
          <w:p w:rsidR="00880768" w:rsidRDefault="00880768" w:rsidP="00880768">
            <w:r>
              <w:t>6 430 802</w:t>
            </w:r>
          </w:p>
        </w:tc>
        <w:tc>
          <w:tcPr>
            <w:tcW w:w="1080" w:type="dxa"/>
          </w:tcPr>
          <w:p w:rsidR="00880768" w:rsidRDefault="00880768" w:rsidP="00880768">
            <w:r>
              <w:t>2 414 875</w:t>
            </w:r>
          </w:p>
        </w:tc>
      </w:tr>
      <w:tr w:rsidR="00880768" w:rsidTr="00880768">
        <w:trPr>
          <w:trHeight w:val="380"/>
        </w:trPr>
        <w:tc>
          <w:tcPr>
            <w:tcW w:w="2300" w:type="dxa"/>
          </w:tcPr>
          <w:p w:rsidR="00880768" w:rsidRDefault="00880768" w:rsidP="00880768"/>
        </w:tc>
        <w:tc>
          <w:tcPr>
            <w:tcW w:w="1080" w:type="dxa"/>
          </w:tcPr>
          <w:p w:rsidR="00880768" w:rsidRDefault="00880768" w:rsidP="00880768"/>
        </w:tc>
        <w:tc>
          <w:tcPr>
            <w:tcW w:w="1080" w:type="dxa"/>
          </w:tcPr>
          <w:p w:rsidR="00880768" w:rsidRDefault="00880768" w:rsidP="00880768"/>
        </w:tc>
        <w:tc>
          <w:tcPr>
            <w:tcW w:w="360" w:type="dxa"/>
          </w:tcPr>
          <w:p w:rsidR="00880768" w:rsidRDefault="00880768" w:rsidP="00880768"/>
        </w:tc>
        <w:tc>
          <w:tcPr>
            <w:tcW w:w="2540" w:type="dxa"/>
          </w:tcPr>
          <w:p w:rsidR="00880768" w:rsidRDefault="00880768" w:rsidP="00880768"/>
        </w:tc>
        <w:tc>
          <w:tcPr>
            <w:tcW w:w="1080" w:type="dxa"/>
          </w:tcPr>
          <w:p w:rsidR="00880768" w:rsidRDefault="00880768" w:rsidP="00880768"/>
        </w:tc>
        <w:tc>
          <w:tcPr>
            <w:tcW w:w="1080" w:type="dxa"/>
          </w:tcPr>
          <w:p w:rsidR="00880768" w:rsidRDefault="00880768" w:rsidP="00880768"/>
        </w:tc>
      </w:tr>
      <w:tr w:rsidR="00880768" w:rsidTr="00880768">
        <w:trPr>
          <w:trHeight w:val="380"/>
        </w:trPr>
        <w:tc>
          <w:tcPr>
            <w:tcW w:w="2300" w:type="dxa"/>
          </w:tcPr>
          <w:p w:rsidR="00880768" w:rsidRDefault="00880768" w:rsidP="00880768">
            <w:r>
              <w:t>Sum eiendeler</w:t>
            </w:r>
          </w:p>
        </w:tc>
        <w:tc>
          <w:tcPr>
            <w:tcW w:w="1080" w:type="dxa"/>
          </w:tcPr>
          <w:p w:rsidR="00880768" w:rsidRDefault="00880768" w:rsidP="00880768">
            <w:r>
              <w:t>38 184 383</w:t>
            </w:r>
          </w:p>
        </w:tc>
        <w:tc>
          <w:tcPr>
            <w:tcW w:w="1080" w:type="dxa"/>
          </w:tcPr>
          <w:p w:rsidR="00880768" w:rsidRDefault="00880768" w:rsidP="00880768">
            <w:r>
              <w:t>23 203 555</w:t>
            </w:r>
          </w:p>
        </w:tc>
        <w:tc>
          <w:tcPr>
            <w:tcW w:w="360" w:type="dxa"/>
          </w:tcPr>
          <w:p w:rsidR="00880768" w:rsidRDefault="00880768" w:rsidP="00880768"/>
        </w:tc>
        <w:tc>
          <w:tcPr>
            <w:tcW w:w="2540" w:type="dxa"/>
          </w:tcPr>
          <w:p w:rsidR="00880768" w:rsidRDefault="00880768" w:rsidP="00880768">
            <w:r>
              <w:t>Sum egenkapital og gjeld</w:t>
            </w:r>
          </w:p>
        </w:tc>
        <w:tc>
          <w:tcPr>
            <w:tcW w:w="1080" w:type="dxa"/>
          </w:tcPr>
          <w:p w:rsidR="00880768" w:rsidRDefault="00880768" w:rsidP="00880768">
            <w:r>
              <w:t>38 184 383</w:t>
            </w:r>
          </w:p>
        </w:tc>
        <w:tc>
          <w:tcPr>
            <w:tcW w:w="1080" w:type="dxa"/>
          </w:tcPr>
          <w:p w:rsidR="00880768" w:rsidRDefault="00880768" w:rsidP="00880768">
            <w:r>
              <w:t>23 303 555</w:t>
            </w:r>
          </w:p>
        </w:tc>
      </w:tr>
    </w:tbl>
    <w:p w:rsidR="00532ECF" w:rsidRDefault="00532ECF" w:rsidP="0063539A">
      <w:pPr>
        <w:pStyle w:val="tabell-tittel"/>
      </w:pPr>
      <w:r>
        <w:t>Nøkkeltall for NVE Anlegg</w:t>
      </w:r>
    </w:p>
    <w:p w:rsidR="00880768" w:rsidRDefault="00880768" w:rsidP="00B52901">
      <w:pPr>
        <w:pStyle w:val="Tabellnavn"/>
      </w:pPr>
      <w:r>
        <w:t>04J1xt2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880768" w:rsidTr="00880768">
        <w:trPr>
          <w:trHeight w:val="360"/>
        </w:trPr>
        <w:tc>
          <w:tcPr>
            <w:tcW w:w="5320" w:type="dxa"/>
          </w:tcPr>
          <w:p w:rsidR="00880768" w:rsidRDefault="00880768" w:rsidP="00880768"/>
        </w:tc>
        <w:tc>
          <w:tcPr>
            <w:tcW w:w="1400" w:type="dxa"/>
          </w:tcPr>
          <w:p w:rsidR="00880768" w:rsidRDefault="00880768" w:rsidP="00880768">
            <w:r>
              <w:t>2015</w:t>
            </w:r>
          </w:p>
        </w:tc>
        <w:tc>
          <w:tcPr>
            <w:tcW w:w="1400" w:type="dxa"/>
          </w:tcPr>
          <w:p w:rsidR="00880768" w:rsidRDefault="00880768" w:rsidP="00880768">
            <w:r>
              <w:t>2016</w:t>
            </w:r>
          </w:p>
        </w:tc>
        <w:tc>
          <w:tcPr>
            <w:tcW w:w="1400" w:type="dxa"/>
          </w:tcPr>
          <w:p w:rsidR="00880768" w:rsidRDefault="00880768" w:rsidP="00880768">
            <w:r>
              <w:t>2017</w:t>
            </w:r>
          </w:p>
        </w:tc>
      </w:tr>
      <w:tr w:rsidR="00880768" w:rsidTr="00880768">
        <w:trPr>
          <w:trHeight w:val="380"/>
        </w:trPr>
        <w:tc>
          <w:tcPr>
            <w:tcW w:w="5320" w:type="dxa"/>
          </w:tcPr>
          <w:p w:rsidR="00880768" w:rsidRDefault="00880768" w:rsidP="00880768">
            <w:r>
              <w:t>Driftsresultat i prosent av driftsinntekter</w:t>
            </w:r>
            <w:r>
              <w:rPr>
                <w:rStyle w:val="skrift-hevet"/>
                <w:sz w:val="21"/>
                <w:szCs w:val="21"/>
              </w:rPr>
              <w:t>1</w:t>
            </w:r>
          </w:p>
        </w:tc>
        <w:tc>
          <w:tcPr>
            <w:tcW w:w="1400" w:type="dxa"/>
          </w:tcPr>
          <w:p w:rsidR="00880768" w:rsidRDefault="00880768" w:rsidP="00880768">
            <w:r>
              <w:t>8,5</w:t>
            </w:r>
          </w:p>
        </w:tc>
        <w:tc>
          <w:tcPr>
            <w:tcW w:w="1400" w:type="dxa"/>
          </w:tcPr>
          <w:p w:rsidR="00880768" w:rsidRDefault="00880768" w:rsidP="00880768">
            <w:r>
              <w:t>1,8</w:t>
            </w:r>
          </w:p>
        </w:tc>
        <w:tc>
          <w:tcPr>
            <w:tcW w:w="1400" w:type="dxa"/>
          </w:tcPr>
          <w:p w:rsidR="00880768" w:rsidRDefault="00880768" w:rsidP="00880768">
            <w:r>
              <w:t>1,4</w:t>
            </w:r>
          </w:p>
        </w:tc>
      </w:tr>
      <w:tr w:rsidR="00880768" w:rsidTr="00880768">
        <w:trPr>
          <w:trHeight w:val="380"/>
        </w:trPr>
        <w:tc>
          <w:tcPr>
            <w:tcW w:w="5320" w:type="dxa"/>
          </w:tcPr>
          <w:p w:rsidR="00880768" w:rsidRDefault="00880768" w:rsidP="00880768">
            <w:r>
              <w:t>Totalkapitalrentabilitet i prosent</w:t>
            </w:r>
          </w:p>
        </w:tc>
        <w:tc>
          <w:tcPr>
            <w:tcW w:w="1400" w:type="dxa"/>
          </w:tcPr>
          <w:p w:rsidR="00880768" w:rsidRDefault="00880768" w:rsidP="00880768">
            <w:r>
              <w:t>23,6</w:t>
            </w:r>
          </w:p>
        </w:tc>
        <w:tc>
          <w:tcPr>
            <w:tcW w:w="1400" w:type="dxa"/>
          </w:tcPr>
          <w:p w:rsidR="00880768" w:rsidRDefault="00880768" w:rsidP="00880768">
            <w:r>
              <w:t>4,7</w:t>
            </w:r>
          </w:p>
        </w:tc>
        <w:tc>
          <w:tcPr>
            <w:tcW w:w="1400" w:type="dxa"/>
          </w:tcPr>
          <w:p w:rsidR="00880768" w:rsidRDefault="00880768" w:rsidP="00880768">
            <w:r>
              <w:t>5,3</w:t>
            </w:r>
          </w:p>
        </w:tc>
      </w:tr>
      <w:tr w:rsidR="00880768" w:rsidTr="00880768">
        <w:trPr>
          <w:trHeight w:val="380"/>
        </w:trPr>
        <w:tc>
          <w:tcPr>
            <w:tcW w:w="5320" w:type="dxa"/>
          </w:tcPr>
          <w:p w:rsidR="00880768" w:rsidRDefault="00880768" w:rsidP="00880768">
            <w:r>
              <w:lastRenderedPageBreak/>
              <w:t>Ekstern omsetning i prosent</w:t>
            </w:r>
          </w:p>
        </w:tc>
        <w:tc>
          <w:tcPr>
            <w:tcW w:w="1400" w:type="dxa"/>
          </w:tcPr>
          <w:p w:rsidR="00880768" w:rsidRDefault="00880768" w:rsidP="00880768">
            <w:r>
              <w:t>2,9</w:t>
            </w:r>
          </w:p>
        </w:tc>
        <w:tc>
          <w:tcPr>
            <w:tcW w:w="1400" w:type="dxa"/>
          </w:tcPr>
          <w:p w:rsidR="00880768" w:rsidRDefault="00880768" w:rsidP="00880768">
            <w:r>
              <w:t>3,8</w:t>
            </w:r>
          </w:p>
        </w:tc>
        <w:tc>
          <w:tcPr>
            <w:tcW w:w="1400" w:type="dxa"/>
          </w:tcPr>
          <w:p w:rsidR="00880768" w:rsidRDefault="00880768" w:rsidP="00880768">
            <w:r>
              <w:t>6,4</w:t>
            </w:r>
          </w:p>
        </w:tc>
      </w:tr>
    </w:tbl>
    <w:p w:rsidR="00880768" w:rsidRDefault="00880768" w:rsidP="00E809D4">
      <w:pPr>
        <w:pStyle w:val="tabell-noter"/>
        <w:rPr>
          <w:rStyle w:val="skrift-hevet"/>
          <w:sz w:val="24"/>
          <w:szCs w:val="24"/>
        </w:rPr>
      </w:pPr>
      <w:r>
        <w:rPr>
          <w:rStyle w:val="skrift-hevet"/>
          <w:sz w:val="17"/>
          <w:szCs w:val="17"/>
        </w:rPr>
        <w:t>1</w:t>
      </w:r>
      <w:r>
        <w:t xml:space="preserve"> </w:t>
      </w:r>
      <w:r>
        <w:tab/>
        <w:t xml:space="preserve">Driftsresultatet omfatter driftsinntekter, driftsutgifter og avskrivninger. </w:t>
      </w:r>
    </w:p>
    <w:p w:rsidR="00880768" w:rsidRDefault="00880768" w:rsidP="00880768">
      <w:pPr>
        <w:pStyle w:val="tabell-noter"/>
        <w:rPr>
          <w:b/>
          <w:bCs/>
          <w:sz w:val="21"/>
          <w:szCs w:val="21"/>
        </w:rPr>
      </w:pPr>
      <w:r>
        <w:rPr>
          <w:rStyle w:val="skrift-hevet"/>
          <w:sz w:val="17"/>
          <w:szCs w:val="17"/>
        </w:rPr>
        <w:t>2</w:t>
      </w:r>
      <w:r>
        <w:t xml:space="preserve"> </w:t>
      </w:r>
      <w:r>
        <w:tab/>
        <w:t>Totalkapitalrentabilitet er resultat etter finanskostnader i prosent av totalkapitalen. Resultat omfatter driftsinntekter, driftsutgifter, renter og tap/gevinst ved salg.</w:t>
      </w:r>
    </w:p>
    <w:p w:rsidR="00880768" w:rsidRDefault="00880768" w:rsidP="00880768">
      <w:pPr>
        <w:pStyle w:val="b-budkaptit"/>
      </w:pPr>
      <w:r>
        <w:t>Kap. 2490 NVE Anlegg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880768" w:rsidTr="007A7DAD">
        <w:trPr>
          <w:trHeight w:val="640"/>
        </w:trPr>
        <w:tc>
          <w:tcPr>
            <w:tcW w:w="1140" w:type="dxa"/>
            <w:shd w:val="clear" w:color="auto" w:fill="FFFFFF"/>
          </w:tcPr>
          <w:p w:rsidR="00880768" w:rsidRDefault="00880768" w:rsidP="007A7DAD">
            <w:pPr>
              <w:pStyle w:val="Tabellnavn"/>
            </w:pPr>
            <w:r>
              <w:t>KPAL</w:t>
            </w:r>
          </w:p>
        </w:tc>
        <w:tc>
          <w:tcPr>
            <w:tcW w:w="4560" w:type="dxa"/>
          </w:tcPr>
          <w:p w:rsidR="00880768" w:rsidRDefault="00880768" w:rsidP="007A7DAD">
            <w:pPr>
              <w:pStyle w:val="Tabellnavn"/>
            </w:pPr>
          </w:p>
        </w:tc>
        <w:tc>
          <w:tcPr>
            <w:tcW w:w="1140" w:type="dxa"/>
          </w:tcPr>
          <w:p w:rsidR="00880768" w:rsidRDefault="00880768" w:rsidP="007A7DAD">
            <w:pPr>
              <w:pStyle w:val="Tabellnavn"/>
              <w:jc w:val="right"/>
            </w:pPr>
          </w:p>
        </w:tc>
        <w:tc>
          <w:tcPr>
            <w:tcW w:w="1140" w:type="dxa"/>
          </w:tcPr>
          <w:p w:rsidR="00880768" w:rsidRDefault="00880768" w:rsidP="007A7DAD">
            <w:pPr>
              <w:pStyle w:val="Tabellnavn"/>
              <w:jc w:val="right"/>
            </w:pPr>
          </w:p>
        </w:tc>
        <w:tc>
          <w:tcPr>
            <w:tcW w:w="1140" w:type="dxa"/>
          </w:tcPr>
          <w:p w:rsidR="00880768" w:rsidRDefault="00880768" w:rsidP="007A7DAD">
            <w:pPr>
              <w:jc w:val="right"/>
            </w:pPr>
            <w:r>
              <w:t>(i 1 000 kr)</w:t>
            </w:r>
          </w:p>
        </w:tc>
      </w:tr>
      <w:tr w:rsidR="00880768" w:rsidTr="007A7DAD">
        <w:trPr>
          <w:trHeight w:val="600"/>
        </w:trPr>
        <w:tc>
          <w:tcPr>
            <w:tcW w:w="1140" w:type="dxa"/>
          </w:tcPr>
          <w:p w:rsidR="00880768" w:rsidRDefault="00880768" w:rsidP="007A7DAD">
            <w:r>
              <w:t>Post</w:t>
            </w:r>
          </w:p>
        </w:tc>
        <w:tc>
          <w:tcPr>
            <w:tcW w:w="4560" w:type="dxa"/>
          </w:tcPr>
          <w:p w:rsidR="00880768" w:rsidRDefault="00880768" w:rsidP="007A7DAD">
            <w:r>
              <w:t>Betegnelse</w:t>
            </w:r>
          </w:p>
        </w:tc>
        <w:tc>
          <w:tcPr>
            <w:tcW w:w="1140" w:type="dxa"/>
          </w:tcPr>
          <w:p w:rsidR="00880768" w:rsidRDefault="00880768" w:rsidP="007A7DAD">
            <w:pPr>
              <w:jc w:val="right"/>
            </w:pPr>
            <w:r>
              <w:t>Reg</w:t>
            </w:r>
            <w:r>
              <w:t>n</w:t>
            </w:r>
            <w:r>
              <w:t>skap 2017</w:t>
            </w:r>
          </w:p>
        </w:tc>
        <w:tc>
          <w:tcPr>
            <w:tcW w:w="1140" w:type="dxa"/>
          </w:tcPr>
          <w:p w:rsidR="00880768" w:rsidRDefault="00880768" w:rsidP="007A7DAD">
            <w:pPr>
              <w:jc w:val="right"/>
            </w:pPr>
            <w:r>
              <w:t xml:space="preserve">Saldert </w:t>
            </w:r>
            <w:r>
              <w:rPr>
                <w:sz w:val="22"/>
              </w:rPr>
              <w:br/>
            </w:r>
            <w:r>
              <w:t>budsjett 2018</w:t>
            </w:r>
          </w:p>
        </w:tc>
        <w:tc>
          <w:tcPr>
            <w:tcW w:w="1140" w:type="dxa"/>
          </w:tcPr>
          <w:p w:rsidR="00880768" w:rsidRDefault="00880768" w:rsidP="007A7DAD">
            <w:pPr>
              <w:jc w:val="right"/>
            </w:pPr>
            <w:r>
              <w:t xml:space="preserve">Forslag </w:t>
            </w:r>
            <w:r>
              <w:rPr>
                <w:sz w:val="22"/>
              </w:rPr>
              <w:br/>
            </w:r>
            <w:r>
              <w:t>2019</w:t>
            </w:r>
          </w:p>
        </w:tc>
      </w:tr>
      <w:tr w:rsidR="00880768" w:rsidTr="007A7DAD">
        <w:trPr>
          <w:trHeight w:val="380"/>
        </w:trPr>
        <w:tc>
          <w:tcPr>
            <w:tcW w:w="1140" w:type="dxa"/>
          </w:tcPr>
          <w:p w:rsidR="00880768" w:rsidRDefault="00880768" w:rsidP="007A7DAD">
            <w:r>
              <w:t>24</w:t>
            </w:r>
          </w:p>
        </w:tc>
        <w:tc>
          <w:tcPr>
            <w:tcW w:w="4560" w:type="dxa"/>
          </w:tcPr>
          <w:p w:rsidR="00880768" w:rsidRDefault="00880768" w:rsidP="007A7DAD">
            <w:r>
              <w:t xml:space="preserve">Driftsresultat </w:t>
            </w:r>
          </w:p>
        </w:tc>
        <w:tc>
          <w:tcPr>
            <w:tcW w:w="1140" w:type="dxa"/>
          </w:tcPr>
          <w:p w:rsidR="00880768" w:rsidRDefault="00880768" w:rsidP="007A7DAD">
            <w:pPr>
              <w:jc w:val="right"/>
            </w:pPr>
            <w:r>
              <w:t>-13 000</w:t>
            </w:r>
          </w:p>
        </w:tc>
        <w:tc>
          <w:tcPr>
            <w:tcW w:w="1140" w:type="dxa"/>
          </w:tcPr>
          <w:p w:rsidR="00880768" w:rsidRDefault="00880768" w:rsidP="007A7DAD">
            <w:pPr>
              <w:jc w:val="right"/>
            </w:pPr>
            <w:r>
              <w:t>-5 000</w:t>
            </w:r>
          </w:p>
        </w:tc>
        <w:tc>
          <w:tcPr>
            <w:tcW w:w="1140" w:type="dxa"/>
          </w:tcPr>
          <w:p w:rsidR="00880768" w:rsidRDefault="00880768" w:rsidP="007A7DAD">
            <w:pPr>
              <w:jc w:val="right"/>
            </w:pPr>
          </w:p>
        </w:tc>
      </w:tr>
      <w:tr w:rsidR="00880768" w:rsidTr="007A7DAD">
        <w:trPr>
          <w:trHeight w:val="640"/>
        </w:trPr>
        <w:tc>
          <w:tcPr>
            <w:tcW w:w="1140" w:type="dxa"/>
          </w:tcPr>
          <w:p w:rsidR="00880768" w:rsidRDefault="00880768" w:rsidP="007A7DAD">
            <w:r>
              <w:t>45</w:t>
            </w:r>
          </w:p>
        </w:tc>
        <w:tc>
          <w:tcPr>
            <w:tcW w:w="4560" w:type="dxa"/>
          </w:tcPr>
          <w:p w:rsidR="00880768" w:rsidRDefault="00880768" w:rsidP="007A7DAD">
            <w:r>
              <w:t>Større utstyrsanskaffelser og vedlikehold</w:t>
            </w:r>
            <w:r>
              <w:rPr>
                <w:rStyle w:val="kursiv"/>
                <w:sz w:val="21"/>
                <w:szCs w:val="21"/>
              </w:rPr>
              <w:t xml:space="preserve">, </w:t>
            </w:r>
            <w:r>
              <w:rPr>
                <w:rStyle w:val="kursiv"/>
                <w:sz w:val="21"/>
                <w:szCs w:val="21"/>
              </w:rPr>
              <w:br/>
              <w:t xml:space="preserve">kan overføres </w:t>
            </w:r>
          </w:p>
        </w:tc>
        <w:tc>
          <w:tcPr>
            <w:tcW w:w="1140" w:type="dxa"/>
          </w:tcPr>
          <w:p w:rsidR="00880768" w:rsidRDefault="00880768" w:rsidP="007A7DAD">
            <w:pPr>
              <w:jc w:val="right"/>
            </w:pPr>
            <w:r>
              <w:t>751</w:t>
            </w:r>
          </w:p>
        </w:tc>
        <w:tc>
          <w:tcPr>
            <w:tcW w:w="1140" w:type="dxa"/>
          </w:tcPr>
          <w:p w:rsidR="00880768" w:rsidRDefault="00880768" w:rsidP="007A7DAD">
            <w:pPr>
              <w:jc w:val="right"/>
            </w:pPr>
          </w:p>
        </w:tc>
        <w:tc>
          <w:tcPr>
            <w:tcW w:w="1140" w:type="dxa"/>
          </w:tcPr>
          <w:p w:rsidR="00880768" w:rsidRDefault="00880768" w:rsidP="007A7DAD">
            <w:pPr>
              <w:jc w:val="right"/>
            </w:pPr>
          </w:p>
        </w:tc>
      </w:tr>
      <w:tr w:rsidR="00880768" w:rsidTr="007A7DAD">
        <w:trPr>
          <w:trHeight w:val="380"/>
        </w:trPr>
        <w:tc>
          <w:tcPr>
            <w:tcW w:w="1140" w:type="dxa"/>
          </w:tcPr>
          <w:p w:rsidR="00880768" w:rsidRDefault="00880768" w:rsidP="007A7DAD"/>
        </w:tc>
        <w:tc>
          <w:tcPr>
            <w:tcW w:w="4560" w:type="dxa"/>
          </w:tcPr>
          <w:p w:rsidR="00880768" w:rsidRDefault="00880768" w:rsidP="007A7DAD">
            <w:r>
              <w:t>Sum kap. 2490</w:t>
            </w:r>
          </w:p>
        </w:tc>
        <w:tc>
          <w:tcPr>
            <w:tcW w:w="1140" w:type="dxa"/>
          </w:tcPr>
          <w:p w:rsidR="00880768" w:rsidRDefault="00880768" w:rsidP="007A7DAD">
            <w:pPr>
              <w:jc w:val="right"/>
            </w:pPr>
            <w:r>
              <w:t>-12 249</w:t>
            </w:r>
          </w:p>
        </w:tc>
        <w:tc>
          <w:tcPr>
            <w:tcW w:w="1140" w:type="dxa"/>
          </w:tcPr>
          <w:p w:rsidR="00880768" w:rsidRDefault="00880768" w:rsidP="007A7DAD">
            <w:pPr>
              <w:jc w:val="right"/>
            </w:pPr>
            <w:r>
              <w:t>-5 000</w:t>
            </w:r>
          </w:p>
        </w:tc>
        <w:tc>
          <w:tcPr>
            <w:tcW w:w="1140" w:type="dxa"/>
          </w:tcPr>
          <w:p w:rsidR="00880768" w:rsidRDefault="00880768" w:rsidP="007A7DAD">
            <w:pPr>
              <w:jc w:val="right"/>
            </w:pPr>
          </w:p>
        </w:tc>
      </w:tr>
    </w:tbl>
    <w:p w:rsidR="00880768" w:rsidRDefault="00880768" w:rsidP="00880768">
      <w:pPr>
        <w:pStyle w:val="b-post"/>
      </w:pPr>
      <w:r>
        <w:t>Post 24 Driftsresultat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880768" w:rsidTr="007A7DAD">
        <w:trPr>
          <w:trHeight w:val="380"/>
        </w:trPr>
        <w:tc>
          <w:tcPr>
            <w:tcW w:w="1140" w:type="dxa"/>
            <w:shd w:val="clear" w:color="auto" w:fill="FFFFFF"/>
          </w:tcPr>
          <w:p w:rsidR="00880768" w:rsidRDefault="00880768" w:rsidP="007A7DAD">
            <w:pPr>
              <w:pStyle w:val="Tabellnavn"/>
            </w:pPr>
            <w:r>
              <w:t>KPEN</w:t>
            </w:r>
          </w:p>
        </w:tc>
        <w:tc>
          <w:tcPr>
            <w:tcW w:w="4560" w:type="dxa"/>
          </w:tcPr>
          <w:p w:rsidR="00880768" w:rsidRDefault="00880768" w:rsidP="007A7DAD">
            <w:pPr>
              <w:pStyle w:val="Tabellnavn"/>
            </w:pPr>
          </w:p>
        </w:tc>
        <w:tc>
          <w:tcPr>
            <w:tcW w:w="1140" w:type="dxa"/>
          </w:tcPr>
          <w:p w:rsidR="00880768" w:rsidRDefault="00880768" w:rsidP="007A7DAD">
            <w:pPr>
              <w:pStyle w:val="Tabellnavn"/>
              <w:jc w:val="right"/>
            </w:pPr>
          </w:p>
        </w:tc>
        <w:tc>
          <w:tcPr>
            <w:tcW w:w="1140" w:type="dxa"/>
          </w:tcPr>
          <w:p w:rsidR="00880768" w:rsidRDefault="00880768" w:rsidP="007A7DAD">
            <w:pPr>
              <w:pStyle w:val="Tabellnavn"/>
              <w:jc w:val="right"/>
            </w:pPr>
          </w:p>
        </w:tc>
        <w:tc>
          <w:tcPr>
            <w:tcW w:w="1140" w:type="dxa"/>
          </w:tcPr>
          <w:p w:rsidR="00880768" w:rsidRDefault="00880768" w:rsidP="007A7DAD">
            <w:pPr>
              <w:jc w:val="right"/>
            </w:pPr>
            <w:r>
              <w:t>(i 1 000 kr)</w:t>
            </w:r>
          </w:p>
        </w:tc>
      </w:tr>
      <w:tr w:rsidR="00880768" w:rsidTr="007A7DAD">
        <w:trPr>
          <w:trHeight w:val="600"/>
        </w:trPr>
        <w:tc>
          <w:tcPr>
            <w:tcW w:w="1140" w:type="dxa"/>
          </w:tcPr>
          <w:p w:rsidR="00880768" w:rsidRDefault="00880768" w:rsidP="007A7DAD">
            <w:r>
              <w:t>Unde</w:t>
            </w:r>
            <w:r>
              <w:t>r</w:t>
            </w:r>
            <w:r>
              <w:t>post</w:t>
            </w:r>
          </w:p>
        </w:tc>
        <w:tc>
          <w:tcPr>
            <w:tcW w:w="4560" w:type="dxa"/>
          </w:tcPr>
          <w:p w:rsidR="00880768" w:rsidRDefault="00880768" w:rsidP="007A7DAD">
            <w:r>
              <w:t>Betegnelse</w:t>
            </w:r>
          </w:p>
        </w:tc>
        <w:tc>
          <w:tcPr>
            <w:tcW w:w="1140" w:type="dxa"/>
          </w:tcPr>
          <w:p w:rsidR="00880768" w:rsidRDefault="00880768" w:rsidP="007A7DAD">
            <w:pPr>
              <w:jc w:val="right"/>
            </w:pPr>
            <w:r>
              <w:t>Reg</w:t>
            </w:r>
            <w:r>
              <w:t>n</w:t>
            </w:r>
            <w:r>
              <w:t>skap 2017</w:t>
            </w:r>
          </w:p>
        </w:tc>
        <w:tc>
          <w:tcPr>
            <w:tcW w:w="1140" w:type="dxa"/>
          </w:tcPr>
          <w:p w:rsidR="00880768" w:rsidRDefault="00880768" w:rsidP="007A7DAD">
            <w:pPr>
              <w:jc w:val="right"/>
            </w:pPr>
            <w:r>
              <w:t xml:space="preserve">Saldert </w:t>
            </w:r>
            <w:r>
              <w:rPr>
                <w:sz w:val="22"/>
              </w:rPr>
              <w:br/>
            </w:r>
            <w:r>
              <w:t>budsjett 2018</w:t>
            </w:r>
          </w:p>
        </w:tc>
        <w:tc>
          <w:tcPr>
            <w:tcW w:w="1140" w:type="dxa"/>
          </w:tcPr>
          <w:p w:rsidR="00880768" w:rsidRDefault="00880768" w:rsidP="007A7DAD">
            <w:pPr>
              <w:jc w:val="right"/>
            </w:pPr>
            <w:r>
              <w:t xml:space="preserve">Forslag </w:t>
            </w:r>
            <w:r>
              <w:rPr>
                <w:sz w:val="22"/>
              </w:rPr>
              <w:br/>
            </w:r>
            <w:r>
              <w:t>2019</w:t>
            </w:r>
          </w:p>
        </w:tc>
      </w:tr>
      <w:tr w:rsidR="00880768" w:rsidTr="007A7DAD">
        <w:trPr>
          <w:trHeight w:val="380"/>
        </w:trPr>
        <w:tc>
          <w:tcPr>
            <w:tcW w:w="1140" w:type="dxa"/>
          </w:tcPr>
          <w:p w:rsidR="00880768" w:rsidRDefault="00880768" w:rsidP="007A7DAD">
            <w:r>
              <w:t>24.1</w:t>
            </w:r>
          </w:p>
        </w:tc>
        <w:tc>
          <w:tcPr>
            <w:tcW w:w="4560" w:type="dxa"/>
          </w:tcPr>
          <w:p w:rsidR="00880768" w:rsidRDefault="00880768" w:rsidP="007A7DAD">
            <w:r>
              <w:t xml:space="preserve">Driftsinntekter </w:t>
            </w:r>
          </w:p>
        </w:tc>
        <w:tc>
          <w:tcPr>
            <w:tcW w:w="1140" w:type="dxa"/>
          </w:tcPr>
          <w:p w:rsidR="00880768" w:rsidRDefault="00880768" w:rsidP="007A7DAD">
            <w:pPr>
              <w:jc w:val="right"/>
            </w:pPr>
            <w:r>
              <w:t>-128 978</w:t>
            </w:r>
          </w:p>
        </w:tc>
        <w:tc>
          <w:tcPr>
            <w:tcW w:w="1140" w:type="dxa"/>
          </w:tcPr>
          <w:p w:rsidR="00880768" w:rsidRDefault="00880768" w:rsidP="007A7DAD">
            <w:pPr>
              <w:jc w:val="right"/>
            </w:pPr>
            <w:r>
              <w:t>-80 000</w:t>
            </w:r>
          </w:p>
        </w:tc>
        <w:tc>
          <w:tcPr>
            <w:tcW w:w="1140" w:type="dxa"/>
          </w:tcPr>
          <w:p w:rsidR="00880768" w:rsidRDefault="00880768" w:rsidP="007A7DAD">
            <w:pPr>
              <w:jc w:val="right"/>
            </w:pPr>
            <w:r>
              <w:t>-80 000</w:t>
            </w:r>
          </w:p>
        </w:tc>
      </w:tr>
      <w:tr w:rsidR="00880768" w:rsidTr="007A7DAD">
        <w:trPr>
          <w:trHeight w:val="380"/>
        </w:trPr>
        <w:tc>
          <w:tcPr>
            <w:tcW w:w="1140" w:type="dxa"/>
          </w:tcPr>
          <w:p w:rsidR="00880768" w:rsidRDefault="00880768" w:rsidP="007A7DAD">
            <w:r>
              <w:t>24.2</w:t>
            </w:r>
          </w:p>
        </w:tc>
        <w:tc>
          <w:tcPr>
            <w:tcW w:w="4560" w:type="dxa"/>
          </w:tcPr>
          <w:p w:rsidR="00880768" w:rsidRDefault="00880768" w:rsidP="007A7DAD">
            <w:r>
              <w:t xml:space="preserve">Driftsutgifter </w:t>
            </w:r>
          </w:p>
        </w:tc>
        <w:tc>
          <w:tcPr>
            <w:tcW w:w="1140" w:type="dxa"/>
          </w:tcPr>
          <w:p w:rsidR="00880768" w:rsidRDefault="00880768" w:rsidP="007A7DAD">
            <w:pPr>
              <w:jc w:val="right"/>
            </w:pPr>
            <w:r>
              <w:t>122 425</w:t>
            </w:r>
          </w:p>
        </w:tc>
        <w:tc>
          <w:tcPr>
            <w:tcW w:w="1140" w:type="dxa"/>
          </w:tcPr>
          <w:p w:rsidR="00880768" w:rsidRDefault="00880768" w:rsidP="007A7DAD">
            <w:pPr>
              <w:jc w:val="right"/>
            </w:pPr>
            <w:r>
              <w:t>75 200</w:t>
            </w:r>
          </w:p>
        </w:tc>
        <w:tc>
          <w:tcPr>
            <w:tcW w:w="1140" w:type="dxa"/>
          </w:tcPr>
          <w:p w:rsidR="00880768" w:rsidRDefault="00880768" w:rsidP="007A7DAD">
            <w:pPr>
              <w:jc w:val="right"/>
            </w:pPr>
            <w:r>
              <w:t>75 300</w:t>
            </w:r>
          </w:p>
        </w:tc>
      </w:tr>
      <w:tr w:rsidR="00880768" w:rsidTr="007A7DAD">
        <w:trPr>
          <w:trHeight w:val="380"/>
        </w:trPr>
        <w:tc>
          <w:tcPr>
            <w:tcW w:w="1140" w:type="dxa"/>
          </w:tcPr>
          <w:p w:rsidR="00880768" w:rsidRDefault="00880768" w:rsidP="007A7DAD">
            <w:r>
              <w:t>24.3</w:t>
            </w:r>
          </w:p>
        </w:tc>
        <w:tc>
          <w:tcPr>
            <w:tcW w:w="4560" w:type="dxa"/>
          </w:tcPr>
          <w:p w:rsidR="00880768" w:rsidRDefault="00880768" w:rsidP="007A7DAD">
            <w:r>
              <w:t xml:space="preserve">Avskrivninger </w:t>
            </w:r>
          </w:p>
        </w:tc>
        <w:tc>
          <w:tcPr>
            <w:tcW w:w="1140" w:type="dxa"/>
          </w:tcPr>
          <w:p w:rsidR="00880768" w:rsidRDefault="00880768" w:rsidP="007A7DAD">
            <w:pPr>
              <w:jc w:val="right"/>
            </w:pPr>
            <w:r>
              <w:t>4 547</w:t>
            </w:r>
          </w:p>
        </w:tc>
        <w:tc>
          <w:tcPr>
            <w:tcW w:w="1140" w:type="dxa"/>
          </w:tcPr>
          <w:p w:rsidR="00880768" w:rsidRDefault="00880768" w:rsidP="007A7DAD">
            <w:pPr>
              <w:jc w:val="right"/>
            </w:pPr>
            <w:r>
              <w:t>4 600</w:t>
            </w:r>
          </w:p>
        </w:tc>
        <w:tc>
          <w:tcPr>
            <w:tcW w:w="1140" w:type="dxa"/>
          </w:tcPr>
          <w:p w:rsidR="00880768" w:rsidRDefault="00880768" w:rsidP="007A7DAD">
            <w:pPr>
              <w:jc w:val="right"/>
            </w:pPr>
            <w:r>
              <w:t>4 500</w:t>
            </w:r>
          </w:p>
        </w:tc>
      </w:tr>
      <w:tr w:rsidR="00880768" w:rsidTr="007A7DAD">
        <w:trPr>
          <w:trHeight w:val="380"/>
        </w:trPr>
        <w:tc>
          <w:tcPr>
            <w:tcW w:w="1140" w:type="dxa"/>
          </w:tcPr>
          <w:p w:rsidR="00880768" w:rsidRDefault="00880768" w:rsidP="007A7DAD">
            <w:r>
              <w:t>24.4</w:t>
            </w:r>
          </w:p>
        </w:tc>
        <w:tc>
          <w:tcPr>
            <w:tcW w:w="4560" w:type="dxa"/>
          </w:tcPr>
          <w:p w:rsidR="00880768" w:rsidRDefault="00880768" w:rsidP="007A7DAD">
            <w:r>
              <w:t xml:space="preserve">Renter av statens kapital </w:t>
            </w:r>
          </w:p>
        </w:tc>
        <w:tc>
          <w:tcPr>
            <w:tcW w:w="1140" w:type="dxa"/>
          </w:tcPr>
          <w:p w:rsidR="00880768" w:rsidRDefault="00880768" w:rsidP="007A7DAD">
            <w:pPr>
              <w:jc w:val="right"/>
            </w:pPr>
            <w:r>
              <w:t>190</w:t>
            </w:r>
          </w:p>
        </w:tc>
        <w:tc>
          <w:tcPr>
            <w:tcW w:w="1140" w:type="dxa"/>
          </w:tcPr>
          <w:p w:rsidR="00880768" w:rsidRDefault="00880768" w:rsidP="007A7DAD">
            <w:pPr>
              <w:jc w:val="right"/>
            </w:pPr>
            <w:r>
              <w:t>200</w:t>
            </w:r>
          </w:p>
        </w:tc>
        <w:tc>
          <w:tcPr>
            <w:tcW w:w="1140" w:type="dxa"/>
          </w:tcPr>
          <w:p w:rsidR="00880768" w:rsidRDefault="00880768" w:rsidP="007A7DAD">
            <w:pPr>
              <w:jc w:val="right"/>
            </w:pPr>
            <w:r>
              <w:t>200</w:t>
            </w:r>
          </w:p>
        </w:tc>
      </w:tr>
      <w:tr w:rsidR="00880768" w:rsidTr="007A7DAD">
        <w:trPr>
          <w:trHeight w:val="380"/>
        </w:trPr>
        <w:tc>
          <w:tcPr>
            <w:tcW w:w="1140" w:type="dxa"/>
          </w:tcPr>
          <w:p w:rsidR="00880768" w:rsidRDefault="00880768" w:rsidP="007A7DAD">
            <w:r>
              <w:t>24.6</w:t>
            </w:r>
          </w:p>
        </w:tc>
        <w:tc>
          <w:tcPr>
            <w:tcW w:w="4560" w:type="dxa"/>
          </w:tcPr>
          <w:p w:rsidR="00880768" w:rsidRDefault="00880768" w:rsidP="007A7DAD">
            <w:r>
              <w:t xml:space="preserve">Reguleringsfond </w:t>
            </w:r>
          </w:p>
        </w:tc>
        <w:tc>
          <w:tcPr>
            <w:tcW w:w="1140" w:type="dxa"/>
          </w:tcPr>
          <w:p w:rsidR="00880768" w:rsidRDefault="00880768" w:rsidP="007A7DAD">
            <w:pPr>
              <w:jc w:val="right"/>
            </w:pPr>
            <w:r>
              <w:t>-11 184</w:t>
            </w:r>
          </w:p>
        </w:tc>
        <w:tc>
          <w:tcPr>
            <w:tcW w:w="1140" w:type="dxa"/>
          </w:tcPr>
          <w:p w:rsidR="00880768" w:rsidRDefault="00880768" w:rsidP="007A7DAD">
            <w:pPr>
              <w:jc w:val="right"/>
            </w:pPr>
            <w:r>
              <w:t>-5 000</w:t>
            </w:r>
          </w:p>
        </w:tc>
        <w:tc>
          <w:tcPr>
            <w:tcW w:w="1140" w:type="dxa"/>
          </w:tcPr>
          <w:p w:rsidR="00880768" w:rsidRDefault="00880768" w:rsidP="007A7DAD">
            <w:pPr>
              <w:jc w:val="right"/>
            </w:pPr>
          </w:p>
        </w:tc>
      </w:tr>
      <w:tr w:rsidR="00880768" w:rsidTr="007A7DAD">
        <w:trPr>
          <w:trHeight w:val="380"/>
        </w:trPr>
        <w:tc>
          <w:tcPr>
            <w:tcW w:w="1140" w:type="dxa"/>
          </w:tcPr>
          <w:p w:rsidR="00880768" w:rsidRDefault="00880768" w:rsidP="007A7DAD"/>
        </w:tc>
        <w:tc>
          <w:tcPr>
            <w:tcW w:w="4560" w:type="dxa"/>
          </w:tcPr>
          <w:p w:rsidR="00880768" w:rsidRDefault="00880768" w:rsidP="007A7DAD">
            <w:r>
              <w:t>Sum post 24</w:t>
            </w:r>
          </w:p>
        </w:tc>
        <w:tc>
          <w:tcPr>
            <w:tcW w:w="1140" w:type="dxa"/>
          </w:tcPr>
          <w:p w:rsidR="00880768" w:rsidRDefault="00880768" w:rsidP="007A7DAD">
            <w:pPr>
              <w:jc w:val="right"/>
            </w:pPr>
            <w:r>
              <w:t>-13 000</w:t>
            </w:r>
          </w:p>
        </w:tc>
        <w:tc>
          <w:tcPr>
            <w:tcW w:w="1140" w:type="dxa"/>
          </w:tcPr>
          <w:p w:rsidR="00880768" w:rsidRDefault="00880768" w:rsidP="007A7DAD">
            <w:pPr>
              <w:jc w:val="right"/>
            </w:pPr>
            <w:r>
              <w:t>-5 000</w:t>
            </w:r>
          </w:p>
        </w:tc>
        <w:tc>
          <w:tcPr>
            <w:tcW w:w="1140" w:type="dxa"/>
          </w:tcPr>
          <w:p w:rsidR="00880768" w:rsidRDefault="00880768" w:rsidP="007A7DAD">
            <w:pPr>
              <w:jc w:val="right"/>
            </w:pPr>
          </w:p>
        </w:tc>
      </w:tr>
    </w:tbl>
    <w:p w:rsidR="00880768" w:rsidRDefault="00880768" w:rsidP="00880768">
      <w:pPr>
        <w:pStyle w:val="b-underpost"/>
      </w:pPr>
      <w:r>
        <w:t>Underpost 24.1 Driftsinntekter</w:t>
      </w:r>
    </w:p>
    <w:p w:rsidR="00880768" w:rsidRDefault="00880768" w:rsidP="00880768">
      <w:r>
        <w:t>Underposten omfatter i hovedsak inntekter fra oppdrag for NVE relatert til vassdrag.</w:t>
      </w:r>
    </w:p>
    <w:p w:rsidR="00880768" w:rsidRDefault="00880768" w:rsidP="00880768">
      <w:pPr>
        <w:pStyle w:val="b-underpost"/>
      </w:pPr>
      <w:r>
        <w:t>Underpost 24.2 Driftsutgifter</w:t>
      </w:r>
    </w:p>
    <w:p w:rsidR="00880768" w:rsidRDefault="00880768" w:rsidP="00880768">
      <w:r>
        <w:t xml:space="preserve">Underposten omfatter lønnsutgifter og andre utgifter til drift av NVE Anlegg. </w:t>
      </w:r>
    </w:p>
    <w:p w:rsidR="00880768" w:rsidRDefault="00880768" w:rsidP="00880768">
      <w:pPr>
        <w:pStyle w:val="b-underpost"/>
      </w:pPr>
      <w:r>
        <w:t>Underpost 24.3 Avskrivninger</w:t>
      </w:r>
    </w:p>
    <w:p w:rsidR="00880768" w:rsidRDefault="00880768" w:rsidP="00880768">
      <w:r>
        <w:t>Driften belastes med avskrivninger for å ta hensyn til kapitalslit og gi et mer korrekt bilde av re</w:t>
      </w:r>
      <w:r>
        <w:t>s</w:t>
      </w:r>
      <w:r>
        <w:t xml:space="preserve">sursbruken. Dette er en kalkulatorisk kostnad uten kontanteffekt, jf. motpost under kap. 5491, post 30. </w:t>
      </w:r>
    </w:p>
    <w:p w:rsidR="00880768" w:rsidRDefault="00880768" w:rsidP="00880768">
      <w:r>
        <w:t>Avskrivningene på de enkelte anleggsmidler foretas lineært, basert på en fastsatt avskrivningsp</w:t>
      </w:r>
      <w:r>
        <w:t>e</w:t>
      </w:r>
      <w:r>
        <w:t>riode, 8 og 20 år for henholdsvis maskiner og bygninger. Anleggsmidler avskrives ikke i invest</w:t>
      </w:r>
      <w:r>
        <w:t>e</w:t>
      </w:r>
      <w:r>
        <w:t xml:space="preserve">ringsåret, men starter fra 1. januar påfølgende år. Anleggsmidler blir avskrevet for et helt år i </w:t>
      </w:r>
      <w:r>
        <w:lastRenderedPageBreak/>
        <w:t>salgsåret. Nytt utstyr som har en kostnad på under kroner 50 000 eksklusiv merverdiavgift, avskr</w:t>
      </w:r>
      <w:r>
        <w:t>i</w:t>
      </w:r>
      <w:r>
        <w:t xml:space="preserve">ves ikke. Brukt utstyr eller spesialutstyr behandles særskilt i hvert enkelt tilfelle. Påkostninger og oppgraderinger føres mot anleggsmidler og inngår i avskrivningsgrunnlaget. Normalt vedlikehold skal ikke avskrives. </w:t>
      </w:r>
    </w:p>
    <w:p w:rsidR="00880768" w:rsidRDefault="00880768" w:rsidP="00880768">
      <w:pPr>
        <w:pStyle w:val="b-underpost"/>
      </w:pPr>
      <w:r>
        <w:t>Underpost 24.4 Renter av statens kapital</w:t>
      </w:r>
    </w:p>
    <w:p w:rsidR="00880768" w:rsidRDefault="00880768" w:rsidP="00880768">
      <w:r>
        <w:t>Driften belastes med renter på statens kapital for å ta hensyn til kapitalkostnader og gi et mer ko</w:t>
      </w:r>
      <w:r>
        <w:t>r</w:t>
      </w:r>
      <w:r>
        <w:t>rekt bilde av ressursbruken. Dette er en kalkulatorisk kostnad uten kontanteffekt, jf. motpost under kap. 5603, post 80.</w:t>
      </w:r>
    </w:p>
    <w:p w:rsidR="00880768" w:rsidRDefault="00880768" w:rsidP="00880768">
      <w:pPr>
        <w:pStyle w:val="b-budkaptit"/>
      </w:pPr>
      <w:r>
        <w:t>Kap. 5490 NVE Anlegg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880768" w:rsidTr="007A7DAD">
        <w:trPr>
          <w:trHeight w:val="640"/>
        </w:trPr>
        <w:tc>
          <w:tcPr>
            <w:tcW w:w="1140" w:type="dxa"/>
            <w:shd w:val="clear" w:color="auto" w:fill="FFFFFF"/>
          </w:tcPr>
          <w:p w:rsidR="00880768" w:rsidRDefault="00880768" w:rsidP="007A7DAD">
            <w:pPr>
              <w:pStyle w:val="Tabellnavn"/>
            </w:pPr>
            <w:r>
              <w:t>KPAL</w:t>
            </w:r>
          </w:p>
        </w:tc>
        <w:tc>
          <w:tcPr>
            <w:tcW w:w="4560" w:type="dxa"/>
          </w:tcPr>
          <w:p w:rsidR="00880768" w:rsidRDefault="00880768" w:rsidP="007A7DAD">
            <w:pPr>
              <w:pStyle w:val="Tabellnavn"/>
            </w:pPr>
          </w:p>
        </w:tc>
        <w:tc>
          <w:tcPr>
            <w:tcW w:w="1140" w:type="dxa"/>
          </w:tcPr>
          <w:p w:rsidR="00880768" w:rsidRDefault="00880768" w:rsidP="007A7DAD">
            <w:pPr>
              <w:pStyle w:val="Tabellnavn"/>
              <w:jc w:val="right"/>
            </w:pPr>
          </w:p>
        </w:tc>
        <w:tc>
          <w:tcPr>
            <w:tcW w:w="1140" w:type="dxa"/>
          </w:tcPr>
          <w:p w:rsidR="00880768" w:rsidRDefault="00880768" w:rsidP="007A7DAD">
            <w:pPr>
              <w:pStyle w:val="Tabellnavn"/>
              <w:jc w:val="right"/>
            </w:pPr>
          </w:p>
        </w:tc>
        <w:tc>
          <w:tcPr>
            <w:tcW w:w="1140" w:type="dxa"/>
          </w:tcPr>
          <w:p w:rsidR="00880768" w:rsidRDefault="00880768" w:rsidP="007A7DAD">
            <w:pPr>
              <w:jc w:val="right"/>
            </w:pPr>
            <w:r>
              <w:t>(i 1 000 kr)</w:t>
            </w:r>
          </w:p>
        </w:tc>
      </w:tr>
      <w:tr w:rsidR="00880768" w:rsidTr="007A7DAD">
        <w:trPr>
          <w:trHeight w:val="600"/>
        </w:trPr>
        <w:tc>
          <w:tcPr>
            <w:tcW w:w="1140" w:type="dxa"/>
          </w:tcPr>
          <w:p w:rsidR="00880768" w:rsidRDefault="00880768" w:rsidP="007A7DAD">
            <w:r>
              <w:t>Post</w:t>
            </w:r>
          </w:p>
        </w:tc>
        <w:tc>
          <w:tcPr>
            <w:tcW w:w="4560" w:type="dxa"/>
          </w:tcPr>
          <w:p w:rsidR="00880768" w:rsidRDefault="00880768" w:rsidP="007A7DAD">
            <w:r>
              <w:t>Betegnelse</w:t>
            </w:r>
          </w:p>
        </w:tc>
        <w:tc>
          <w:tcPr>
            <w:tcW w:w="1140" w:type="dxa"/>
          </w:tcPr>
          <w:p w:rsidR="00880768" w:rsidRDefault="00880768" w:rsidP="007A7DAD">
            <w:pPr>
              <w:jc w:val="right"/>
            </w:pPr>
            <w:r>
              <w:t>Reg</w:t>
            </w:r>
            <w:r>
              <w:t>n</w:t>
            </w:r>
            <w:r>
              <w:t>skap 2017</w:t>
            </w:r>
          </w:p>
        </w:tc>
        <w:tc>
          <w:tcPr>
            <w:tcW w:w="1140" w:type="dxa"/>
          </w:tcPr>
          <w:p w:rsidR="00880768" w:rsidRDefault="00880768" w:rsidP="007A7DAD">
            <w:pPr>
              <w:jc w:val="right"/>
            </w:pPr>
            <w:r>
              <w:t xml:space="preserve">Saldert </w:t>
            </w:r>
            <w:r>
              <w:rPr>
                <w:sz w:val="22"/>
              </w:rPr>
              <w:br/>
            </w:r>
            <w:r>
              <w:t>budsjett 2018</w:t>
            </w:r>
          </w:p>
        </w:tc>
        <w:tc>
          <w:tcPr>
            <w:tcW w:w="1140" w:type="dxa"/>
          </w:tcPr>
          <w:p w:rsidR="00880768" w:rsidRDefault="00880768" w:rsidP="007A7DAD">
            <w:pPr>
              <w:jc w:val="right"/>
            </w:pPr>
            <w:r>
              <w:t xml:space="preserve">Forslag </w:t>
            </w:r>
            <w:r>
              <w:rPr>
                <w:sz w:val="22"/>
              </w:rPr>
              <w:br/>
            </w:r>
            <w:r>
              <w:t>2019</w:t>
            </w:r>
          </w:p>
        </w:tc>
      </w:tr>
      <w:tr w:rsidR="00880768" w:rsidTr="007A7DAD">
        <w:trPr>
          <w:trHeight w:val="380"/>
        </w:trPr>
        <w:tc>
          <w:tcPr>
            <w:tcW w:w="1140" w:type="dxa"/>
          </w:tcPr>
          <w:p w:rsidR="00880768" w:rsidRDefault="00880768" w:rsidP="007A7DAD">
            <w:r>
              <w:t>01</w:t>
            </w:r>
          </w:p>
        </w:tc>
        <w:tc>
          <w:tcPr>
            <w:tcW w:w="4560" w:type="dxa"/>
          </w:tcPr>
          <w:p w:rsidR="00880768" w:rsidRDefault="00880768" w:rsidP="007A7DAD">
            <w:r>
              <w:t xml:space="preserve">Salg av utstyr mv. </w:t>
            </w:r>
          </w:p>
        </w:tc>
        <w:tc>
          <w:tcPr>
            <w:tcW w:w="1140" w:type="dxa"/>
          </w:tcPr>
          <w:p w:rsidR="00880768" w:rsidRDefault="00880768" w:rsidP="007A7DAD">
            <w:pPr>
              <w:jc w:val="right"/>
            </w:pPr>
            <w:r>
              <w:t>220</w:t>
            </w:r>
          </w:p>
        </w:tc>
        <w:tc>
          <w:tcPr>
            <w:tcW w:w="1140" w:type="dxa"/>
          </w:tcPr>
          <w:p w:rsidR="00880768" w:rsidRDefault="00880768" w:rsidP="007A7DAD">
            <w:pPr>
              <w:jc w:val="right"/>
            </w:pPr>
            <w:r>
              <w:t>200</w:t>
            </w:r>
          </w:p>
        </w:tc>
        <w:tc>
          <w:tcPr>
            <w:tcW w:w="1140" w:type="dxa"/>
          </w:tcPr>
          <w:p w:rsidR="00880768" w:rsidRDefault="00880768" w:rsidP="007A7DAD">
            <w:pPr>
              <w:jc w:val="right"/>
            </w:pPr>
            <w:r>
              <w:t>100</w:t>
            </w:r>
          </w:p>
        </w:tc>
      </w:tr>
      <w:tr w:rsidR="00880768" w:rsidTr="007A7DAD">
        <w:trPr>
          <w:trHeight w:val="380"/>
        </w:trPr>
        <w:tc>
          <w:tcPr>
            <w:tcW w:w="1140" w:type="dxa"/>
          </w:tcPr>
          <w:p w:rsidR="00880768" w:rsidRDefault="00880768" w:rsidP="007A7DAD"/>
        </w:tc>
        <w:tc>
          <w:tcPr>
            <w:tcW w:w="4560" w:type="dxa"/>
          </w:tcPr>
          <w:p w:rsidR="00880768" w:rsidRDefault="00880768" w:rsidP="007A7DAD">
            <w:r>
              <w:t>Sum kap. 5490</w:t>
            </w:r>
          </w:p>
        </w:tc>
        <w:tc>
          <w:tcPr>
            <w:tcW w:w="1140" w:type="dxa"/>
          </w:tcPr>
          <w:p w:rsidR="00880768" w:rsidRDefault="00880768" w:rsidP="007A7DAD">
            <w:pPr>
              <w:jc w:val="right"/>
            </w:pPr>
            <w:r>
              <w:t>220</w:t>
            </w:r>
          </w:p>
        </w:tc>
        <w:tc>
          <w:tcPr>
            <w:tcW w:w="1140" w:type="dxa"/>
          </w:tcPr>
          <w:p w:rsidR="00880768" w:rsidRDefault="00880768" w:rsidP="007A7DAD">
            <w:pPr>
              <w:jc w:val="right"/>
            </w:pPr>
            <w:r>
              <w:t>200</w:t>
            </w:r>
          </w:p>
        </w:tc>
        <w:tc>
          <w:tcPr>
            <w:tcW w:w="1140" w:type="dxa"/>
          </w:tcPr>
          <w:p w:rsidR="00880768" w:rsidRDefault="00880768" w:rsidP="007A7DAD">
            <w:pPr>
              <w:jc w:val="right"/>
            </w:pPr>
            <w:r>
              <w:t>100</w:t>
            </w:r>
          </w:p>
        </w:tc>
      </w:tr>
    </w:tbl>
    <w:p w:rsidR="00880768" w:rsidRDefault="00880768" w:rsidP="00880768">
      <w:pPr>
        <w:pStyle w:val="b-post"/>
      </w:pPr>
      <w:r>
        <w:t>Post 01 Salg av utstyr mv.</w:t>
      </w:r>
    </w:p>
    <w:p w:rsidR="00880768" w:rsidRDefault="00880768" w:rsidP="00880768">
      <w:r>
        <w:t>Posten omfatter inntekter fra salg av utstyr mv.</w:t>
      </w:r>
    </w:p>
    <w:p w:rsidR="00880768" w:rsidRDefault="00880768" w:rsidP="00880768">
      <w:pPr>
        <w:pStyle w:val="b-budkaptit"/>
      </w:pPr>
      <w:r>
        <w:t>Kap. 5582 Sektoravgifter under Olje- og energidepartementet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880768" w:rsidTr="007A7DAD">
        <w:trPr>
          <w:trHeight w:val="640"/>
        </w:trPr>
        <w:tc>
          <w:tcPr>
            <w:tcW w:w="1140" w:type="dxa"/>
            <w:shd w:val="clear" w:color="auto" w:fill="FFFFFF"/>
          </w:tcPr>
          <w:p w:rsidR="00880768" w:rsidRDefault="00880768" w:rsidP="007A7DAD">
            <w:pPr>
              <w:pStyle w:val="Tabellnavn"/>
            </w:pPr>
            <w:r>
              <w:t>KPAL</w:t>
            </w:r>
          </w:p>
        </w:tc>
        <w:tc>
          <w:tcPr>
            <w:tcW w:w="4560" w:type="dxa"/>
          </w:tcPr>
          <w:p w:rsidR="00880768" w:rsidRDefault="00880768" w:rsidP="007A7DAD">
            <w:pPr>
              <w:pStyle w:val="Tabellnavn"/>
            </w:pPr>
          </w:p>
        </w:tc>
        <w:tc>
          <w:tcPr>
            <w:tcW w:w="1140" w:type="dxa"/>
          </w:tcPr>
          <w:p w:rsidR="00880768" w:rsidRDefault="00880768" w:rsidP="007A7DAD">
            <w:pPr>
              <w:pStyle w:val="Tabellnavn"/>
              <w:jc w:val="right"/>
            </w:pPr>
          </w:p>
        </w:tc>
        <w:tc>
          <w:tcPr>
            <w:tcW w:w="1140" w:type="dxa"/>
          </w:tcPr>
          <w:p w:rsidR="00880768" w:rsidRDefault="00880768" w:rsidP="007A7DAD">
            <w:pPr>
              <w:pStyle w:val="Tabellnavn"/>
              <w:jc w:val="right"/>
            </w:pPr>
          </w:p>
        </w:tc>
        <w:tc>
          <w:tcPr>
            <w:tcW w:w="1140" w:type="dxa"/>
          </w:tcPr>
          <w:p w:rsidR="00880768" w:rsidRDefault="00880768" w:rsidP="007A7DAD">
            <w:pPr>
              <w:jc w:val="right"/>
            </w:pPr>
            <w:r>
              <w:t>(i 1 000 kr)</w:t>
            </w:r>
          </w:p>
        </w:tc>
      </w:tr>
      <w:tr w:rsidR="00880768" w:rsidTr="007A7DAD">
        <w:trPr>
          <w:trHeight w:val="600"/>
        </w:trPr>
        <w:tc>
          <w:tcPr>
            <w:tcW w:w="1140" w:type="dxa"/>
          </w:tcPr>
          <w:p w:rsidR="00880768" w:rsidRDefault="00880768" w:rsidP="007A7DAD">
            <w:r>
              <w:t>Post</w:t>
            </w:r>
          </w:p>
        </w:tc>
        <w:tc>
          <w:tcPr>
            <w:tcW w:w="4560" w:type="dxa"/>
          </w:tcPr>
          <w:p w:rsidR="00880768" w:rsidRDefault="00880768" w:rsidP="007A7DAD">
            <w:r>
              <w:t>Betegnelse</w:t>
            </w:r>
          </w:p>
        </w:tc>
        <w:tc>
          <w:tcPr>
            <w:tcW w:w="1140" w:type="dxa"/>
          </w:tcPr>
          <w:p w:rsidR="00880768" w:rsidRDefault="00880768" w:rsidP="007A7DAD">
            <w:pPr>
              <w:jc w:val="right"/>
            </w:pPr>
            <w:r>
              <w:t>Reg</w:t>
            </w:r>
            <w:r>
              <w:t>n</w:t>
            </w:r>
            <w:r>
              <w:t>skap</w:t>
            </w:r>
            <w:r>
              <w:rPr>
                <w:sz w:val="22"/>
              </w:rPr>
              <w:br/>
            </w:r>
            <w:r>
              <w:t>2017</w:t>
            </w:r>
          </w:p>
        </w:tc>
        <w:tc>
          <w:tcPr>
            <w:tcW w:w="1140" w:type="dxa"/>
          </w:tcPr>
          <w:p w:rsidR="00880768" w:rsidRDefault="00880768" w:rsidP="007A7DAD">
            <w:pPr>
              <w:jc w:val="right"/>
            </w:pPr>
            <w:r>
              <w:t xml:space="preserve">Saldert </w:t>
            </w:r>
            <w:r>
              <w:rPr>
                <w:sz w:val="22"/>
              </w:rPr>
              <w:br/>
            </w:r>
            <w:r>
              <w:t>budsjett 2018</w:t>
            </w:r>
          </w:p>
        </w:tc>
        <w:tc>
          <w:tcPr>
            <w:tcW w:w="1140" w:type="dxa"/>
          </w:tcPr>
          <w:p w:rsidR="00880768" w:rsidRDefault="00880768" w:rsidP="007A7DAD">
            <w:pPr>
              <w:jc w:val="right"/>
            </w:pPr>
            <w:r>
              <w:t xml:space="preserve">Forslag </w:t>
            </w:r>
            <w:r>
              <w:rPr>
                <w:sz w:val="22"/>
              </w:rPr>
              <w:br/>
            </w:r>
            <w:r>
              <w:t>2019</w:t>
            </w:r>
          </w:p>
        </w:tc>
      </w:tr>
      <w:tr w:rsidR="00880768" w:rsidTr="007A7DAD">
        <w:trPr>
          <w:trHeight w:val="380"/>
        </w:trPr>
        <w:tc>
          <w:tcPr>
            <w:tcW w:w="1140" w:type="dxa"/>
          </w:tcPr>
          <w:p w:rsidR="00880768" w:rsidRDefault="00880768" w:rsidP="007A7DAD">
            <w:r>
              <w:t>70</w:t>
            </w:r>
          </w:p>
        </w:tc>
        <w:tc>
          <w:tcPr>
            <w:tcW w:w="4560" w:type="dxa"/>
          </w:tcPr>
          <w:p w:rsidR="00880768" w:rsidRDefault="00880768" w:rsidP="007A7DAD">
            <w:r>
              <w:t>Bidrag til kulturminnevern i regulerte vas</w:t>
            </w:r>
            <w:r>
              <w:t>s</w:t>
            </w:r>
            <w:r>
              <w:t xml:space="preserve">drag </w:t>
            </w:r>
          </w:p>
        </w:tc>
        <w:tc>
          <w:tcPr>
            <w:tcW w:w="1140" w:type="dxa"/>
          </w:tcPr>
          <w:p w:rsidR="00880768" w:rsidRDefault="00880768" w:rsidP="007A7DAD">
            <w:pPr>
              <w:jc w:val="right"/>
            </w:pPr>
          </w:p>
        </w:tc>
        <w:tc>
          <w:tcPr>
            <w:tcW w:w="1140" w:type="dxa"/>
          </w:tcPr>
          <w:p w:rsidR="00880768" w:rsidRDefault="00880768" w:rsidP="007A7DAD">
            <w:pPr>
              <w:jc w:val="right"/>
            </w:pPr>
            <w:r>
              <w:t>400</w:t>
            </w:r>
          </w:p>
        </w:tc>
        <w:tc>
          <w:tcPr>
            <w:tcW w:w="1140" w:type="dxa"/>
          </w:tcPr>
          <w:p w:rsidR="00880768" w:rsidRDefault="00880768" w:rsidP="007A7DAD">
            <w:pPr>
              <w:jc w:val="right"/>
            </w:pPr>
          </w:p>
        </w:tc>
      </w:tr>
      <w:tr w:rsidR="00880768" w:rsidTr="007A7DAD">
        <w:trPr>
          <w:trHeight w:val="380"/>
        </w:trPr>
        <w:tc>
          <w:tcPr>
            <w:tcW w:w="1140" w:type="dxa"/>
          </w:tcPr>
          <w:p w:rsidR="00880768" w:rsidRDefault="00880768" w:rsidP="007A7DAD">
            <w:r>
              <w:t>71</w:t>
            </w:r>
          </w:p>
        </w:tc>
        <w:tc>
          <w:tcPr>
            <w:tcW w:w="4560" w:type="dxa"/>
          </w:tcPr>
          <w:p w:rsidR="00880768" w:rsidRDefault="00880768" w:rsidP="007A7DAD">
            <w:r>
              <w:t xml:space="preserve">Konsesjonsavgifter fra vannkraftutbygging </w:t>
            </w:r>
          </w:p>
        </w:tc>
        <w:tc>
          <w:tcPr>
            <w:tcW w:w="1140" w:type="dxa"/>
          </w:tcPr>
          <w:p w:rsidR="00880768" w:rsidRDefault="00880768" w:rsidP="007A7DAD">
            <w:pPr>
              <w:jc w:val="right"/>
            </w:pPr>
            <w:r>
              <w:t>156 027</w:t>
            </w:r>
          </w:p>
        </w:tc>
        <w:tc>
          <w:tcPr>
            <w:tcW w:w="1140" w:type="dxa"/>
          </w:tcPr>
          <w:p w:rsidR="00880768" w:rsidRDefault="00880768" w:rsidP="007A7DAD">
            <w:pPr>
              <w:jc w:val="right"/>
            </w:pPr>
            <w:r>
              <w:t>164 300</w:t>
            </w:r>
          </w:p>
        </w:tc>
        <w:tc>
          <w:tcPr>
            <w:tcW w:w="1140" w:type="dxa"/>
          </w:tcPr>
          <w:p w:rsidR="00880768" w:rsidRDefault="00880768" w:rsidP="007A7DAD">
            <w:pPr>
              <w:jc w:val="right"/>
            </w:pPr>
            <w:r>
              <w:t>166 000</w:t>
            </w:r>
          </w:p>
        </w:tc>
      </w:tr>
      <w:tr w:rsidR="00880768" w:rsidTr="007A7DAD">
        <w:trPr>
          <w:trHeight w:val="380"/>
        </w:trPr>
        <w:tc>
          <w:tcPr>
            <w:tcW w:w="1140" w:type="dxa"/>
          </w:tcPr>
          <w:p w:rsidR="00880768" w:rsidRDefault="00880768" w:rsidP="007A7DAD">
            <w:r>
              <w:t>72</w:t>
            </w:r>
          </w:p>
        </w:tc>
        <w:tc>
          <w:tcPr>
            <w:tcW w:w="4560" w:type="dxa"/>
          </w:tcPr>
          <w:p w:rsidR="00880768" w:rsidRDefault="00880768" w:rsidP="007A7DAD">
            <w:r>
              <w:t>Påslag på nettariffen til Klima- og energ</w:t>
            </w:r>
            <w:r>
              <w:t>i</w:t>
            </w:r>
            <w:r>
              <w:t xml:space="preserve">fondet </w:t>
            </w:r>
          </w:p>
        </w:tc>
        <w:tc>
          <w:tcPr>
            <w:tcW w:w="1140" w:type="dxa"/>
          </w:tcPr>
          <w:p w:rsidR="00880768" w:rsidRDefault="00880768" w:rsidP="007A7DAD">
            <w:pPr>
              <w:jc w:val="right"/>
            </w:pPr>
            <w:r>
              <w:t>691 092</w:t>
            </w:r>
          </w:p>
        </w:tc>
        <w:tc>
          <w:tcPr>
            <w:tcW w:w="1140" w:type="dxa"/>
          </w:tcPr>
          <w:p w:rsidR="00880768" w:rsidRDefault="00880768" w:rsidP="007A7DAD">
            <w:pPr>
              <w:jc w:val="right"/>
            </w:pPr>
            <w:r>
              <w:t>670 000</w:t>
            </w:r>
          </w:p>
        </w:tc>
        <w:tc>
          <w:tcPr>
            <w:tcW w:w="1140" w:type="dxa"/>
          </w:tcPr>
          <w:p w:rsidR="00880768" w:rsidRDefault="00880768" w:rsidP="007A7DAD">
            <w:pPr>
              <w:jc w:val="right"/>
            </w:pPr>
          </w:p>
        </w:tc>
      </w:tr>
      <w:tr w:rsidR="00880768" w:rsidTr="007A7DAD">
        <w:trPr>
          <w:trHeight w:val="380"/>
        </w:trPr>
        <w:tc>
          <w:tcPr>
            <w:tcW w:w="1140" w:type="dxa"/>
          </w:tcPr>
          <w:p w:rsidR="00880768" w:rsidRDefault="00880768" w:rsidP="007A7DAD"/>
        </w:tc>
        <w:tc>
          <w:tcPr>
            <w:tcW w:w="4560" w:type="dxa"/>
          </w:tcPr>
          <w:p w:rsidR="00880768" w:rsidRDefault="00880768" w:rsidP="007A7DAD">
            <w:r>
              <w:t>Sum kap. 5582</w:t>
            </w:r>
          </w:p>
        </w:tc>
        <w:tc>
          <w:tcPr>
            <w:tcW w:w="1140" w:type="dxa"/>
          </w:tcPr>
          <w:p w:rsidR="00880768" w:rsidRDefault="00880768" w:rsidP="007A7DAD">
            <w:pPr>
              <w:jc w:val="right"/>
            </w:pPr>
            <w:r>
              <w:t>847 119</w:t>
            </w:r>
          </w:p>
        </w:tc>
        <w:tc>
          <w:tcPr>
            <w:tcW w:w="1140" w:type="dxa"/>
          </w:tcPr>
          <w:p w:rsidR="00880768" w:rsidRDefault="00880768" w:rsidP="007A7DAD">
            <w:pPr>
              <w:jc w:val="right"/>
            </w:pPr>
            <w:r>
              <w:t>834 700</w:t>
            </w:r>
          </w:p>
        </w:tc>
        <w:tc>
          <w:tcPr>
            <w:tcW w:w="1140" w:type="dxa"/>
          </w:tcPr>
          <w:p w:rsidR="00880768" w:rsidRDefault="00880768" w:rsidP="007A7DAD">
            <w:pPr>
              <w:jc w:val="right"/>
            </w:pPr>
            <w:r>
              <w:t>166 000</w:t>
            </w:r>
          </w:p>
        </w:tc>
      </w:tr>
    </w:tbl>
    <w:p w:rsidR="00880768" w:rsidRDefault="00880768" w:rsidP="00880768">
      <w:pPr>
        <w:pStyle w:val="avsnitt-undertittel"/>
      </w:pPr>
      <w:r>
        <w:t xml:space="preserve">Vedrørende 2018 </w:t>
      </w:r>
    </w:p>
    <w:p w:rsidR="00880768" w:rsidRDefault="00880768" w:rsidP="00880768">
      <w:r>
        <w:t>Ved Stortingets vedtak av 26. april 2018 ble post 72 Påslag på nettariffen til Klima- og energifo</w:t>
      </w:r>
      <w:r>
        <w:t>n</w:t>
      </w:r>
      <w:r>
        <w:t>det redusert med 670 mill. kroner, jf. Prop. 48 S (2017–2018) og Innst. 230 S (2017–2018).</w:t>
      </w:r>
    </w:p>
    <w:p w:rsidR="00880768" w:rsidRDefault="00880768" w:rsidP="00880768">
      <w:pPr>
        <w:pStyle w:val="b-post"/>
      </w:pPr>
      <w:r>
        <w:t>Post 71 Konsesjonsavgifter fra vannkraftutbygging</w:t>
      </w:r>
    </w:p>
    <w:p w:rsidR="00880768" w:rsidRDefault="00880768" w:rsidP="00880768">
      <w:r>
        <w:t>Ved konsesjoner gitt etter vassdragsreguleringsloven eller industrikonsesjonsloven, plikter kraf</w:t>
      </w:r>
      <w:r>
        <w:t>t</w:t>
      </w:r>
      <w:r>
        <w:t>verkseierne å betale en årlig avgift til staten og berørte kommuner. Sektoravgiften til staten skal bidra til finansiering av forskning, utvikling, opplæring og informasjon innenfor energi- og vas</w:t>
      </w:r>
      <w:r>
        <w:t>s</w:t>
      </w:r>
      <w:r>
        <w:lastRenderedPageBreak/>
        <w:t>dragsområdet. Avgiften til staten kan i ekstraordinære tilfeller dekke utgifter til å forebygge, e</w:t>
      </w:r>
      <w:r>
        <w:t>r</w:t>
      </w:r>
      <w:r>
        <w:t>statte og avbøte skader som følge av, eller i forbindelse med, kraftutbygginger eller reguleringer.</w:t>
      </w:r>
    </w:p>
    <w:p w:rsidR="00880768" w:rsidRDefault="00880768" w:rsidP="00880768">
      <w:pPr>
        <w:pStyle w:val="Undertittel"/>
      </w:pPr>
      <w:r>
        <w:t>Statnett SF</w:t>
      </w:r>
    </w:p>
    <w:p w:rsidR="00532ECF" w:rsidRDefault="00880768" w:rsidP="00880768">
      <w:r>
        <w:t>Statnett er systemansvarlig nettselskap i det norske kraftsystemet og har ansvar for å utvikle, drifte</w:t>
      </w:r>
      <w:r w:rsidR="00532ECF">
        <w:t xml:space="preserve"> og vedlikeholde transmisjonsnettet på en samfunnsøkonomisk rasjonell måte.</w:t>
      </w:r>
      <w:r>
        <w:t xml:space="preserve"> </w:t>
      </w:r>
    </w:p>
    <w:p w:rsidR="00880768" w:rsidRDefault="00532ECF" w:rsidP="00880768">
      <w:pPr>
        <w:pStyle w:val="tabell-tittel"/>
      </w:pPr>
      <w:r>
        <w:t>Hovedtall for Statnett SF</w:t>
      </w:r>
    </w:p>
    <w:tbl>
      <w:tblPr>
        <w:tblStyle w:val="StandardTabell"/>
        <w:tblW w:w="0" w:type="auto"/>
        <w:tblLayout w:type="fixed"/>
        <w:tblLook w:val="04A0" w:firstRow="1" w:lastRow="0" w:firstColumn="1" w:lastColumn="0" w:noHBand="0" w:noVBand="1"/>
      </w:tblPr>
      <w:tblGrid>
        <w:gridCol w:w="5320"/>
        <w:gridCol w:w="1400"/>
        <w:gridCol w:w="1400"/>
        <w:gridCol w:w="1400"/>
      </w:tblGrid>
      <w:tr w:rsidR="00880768" w:rsidTr="00880768">
        <w:trPr>
          <w:trHeight w:val="380"/>
        </w:trPr>
        <w:tc>
          <w:tcPr>
            <w:tcW w:w="5320" w:type="dxa"/>
          </w:tcPr>
          <w:p w:rsidR="00880768" w:rsidRDefault="00880768" w:rsidP="00880768">
            <w:pPr>
              <w:pStyle w:val="Tabellnavn"/>
            </w:pPr>
          </w:p>
        </w:tc>
        <w:tc>
          <w:tcPr>
            <w:tcW w:w="1400" w:type="dxa"/>
          </w:tcPr>
          <w:p w:rsidR="00880768" w:rsidRDefault="00880768" w:rsidP="00880768">
            <w:pPr>
              <w:pStyle w:val="Tabellnavn"/>
            </w:pPr>
          </w:p>
        </w:tc>
        <w:tc>
          <w:tcPr>
            <w:tcW w:w="1400" w:type="dxa"/>
          </w:tcPr>
          <w:p w:rsidR="00880768" w:rsidRDefault="00880768" w:rsidP="00880768">
            <w:pPr>
              <w:pStyle w:val="Tabellnavn"/>
            </w:pPr>
          </w:p>
        </w:tc>
        <w:tc>
          <w:tcPr>
            <w:tcW w:w="1400" w:type="dxa"/>
          </w:tcPr>
          <w:p w:rsidR="00880768" w:rsidRDefault="00880768" w:rsidP="00880768">
            <w:r>
              <w:t>(i mill. kr)</w:t>
            </w:r>
          </w:p>
        </w:tc>
      </w:tr>
      <w:tr w:rsidR="00880768" w:rsidTr="00880768">
        <w:trPr>
          <w:trHeight w:val="360"/>
        </w:trPr>
        <w:tc>
          <w:tcPr>
            <w:tcW w:w="5320" w:type="dxa"/>
          </w:tcPr>
          <w:p w:rsidR="00880768" w:rsidRDefault="00880768" w:rsidP="00880768"/>
        </w:tc>
        <w:tc>
          <w:tcPr>
            <w:tcW w:w="1400" w:type="dxa"/>
          </w:tcPr>
          <w:p w:rsidR="00880768" w:rsidRDefault="00880768" w:rsidP="00880768">
            <w:r>
              <w:t>2015</w:t>
            </w:r>
          </w:p>
        </w:tc>
        <w:tc>
          <w:tcPr>
            <w:tcW w:w="1400" w:type="dxa"/>
          </w:tcPr>
          <w:p w:rsidR="00880768" w:rsidRDefault="00880768" w:rsidP="00880768">
            <w:r>
              <w:t>2016</w:t>
            </w:r>
          </w:p>
        </w:tc>
        <w:tc>
          <w:tcPr>
            <w:tcW w:w="1400" w:type="dxa"/>
          </w:tcPr>
          <w:p w:rsidR="00880768" w:rsidRDefault="00880768" w:rsidP="00880768">
            <w:r>
              <w:t>2017</w:t>
            </w:r>
          </w:p>
        </w:tc>
      </w:tr>
      <w:tr w:rsidR="00880768" w:rsidTr="00880768">
        <w:trPr>
          <w:trHeight w:val="380"/>
        </w:trPr>
        <w:tc>
          <w:tcPr>
            <w:tcW w:w="5320" w:type="dxa"/>
          </w:tcPr>
          <w:p w:rsidR="00880768" w:rsidRDefault="00880768" w:rsidP="00880768">
            <w:r>
              <w:t>Driftsinntekter</w:t>
            </w:r>
          </w:p>
        </w:tc>
        <w:tc>
          <w:tcPr>
            <w:tcW w:w="1400" w:type="dxa"/>
          </w:tcPr>
          <w:p w:rsidR="00880768" w:rsidRDefault="00880768" w:rsidP="00880768">
            <w:r>
              <w:t>5 906</w:t>
            </w:r>
          </w:p>
        </w:tc>
        <w:tc>
          <w:tcPr>
            <w:tcW w:w="1400" w:type="dxa"/>
          </w:tcPr>
          <w:p w:rsidR="00880768" w:rsidRDefault="00880768" w:rsidP="00880768">
            <w:r>
              <w:t>6 678</w:t>
            </w:r>
          </w:p>
        </w:tc>
        <w:tc>
          <w:tcPr>
            <w:tcW w:w="1400" w:type="dxa"/>
          </w:tcPr>
          <w:p w:rsidR="00880768" w:rsidRDefault="00880768" w:rsidP="00880768">
            <w:r>
              <w:t>7 401</w:t>
            </w:r>
          </w:p>
        </w:tc>
      </w:tr>
      <w:tr w:rsidR="00880768" w:rsidTr="00880768">
        <w:trPr>
          <w:trHeight w:val="380"/>
        </w:trPr>
        <w:tc>
          <w:tcPr>
            <w:tcW w:w="5320" w:type="dxa"/>
          </w:tcPr>
          <w:p w:rsidR="00880768" w:rsidRDefault="00880768" w:rsidP="00880768">
            <w:r>
              <w:t>Driftsresultat</w:t>
            </w:r>
          </w:p>
        </w:tc>
        <w:tc>
          <w:tcPr>
            <w:tcW w:w="1400" w:type="dxa"/>
          </w:tcPr>
          <w:p w:rsidR="00880768" w:rsidRDefault="00880768" w:rsidP="00880768">
            <w:r>
              <w:t>1 714</w:t>
            </w:r>
          </w:p>
        </w:tc>
        <w:tc>
          <w:tcPr>
            <w:tcW w:w="1400" w:type="dxa"/>
          </w:tcPr>
          <w:p w:rsidR="00880768" w:rsidRDefault="00880768" w:rsidP="00880768">
            <w:r>
              <w:t>1 152</w:t>
            </w:r>
          </w:p>
        </w:tc>
        <w:tc>
          <w:tcPr>
            <w:tcW w:w="1400" w:type="dxa"/>
          </w:tcPr>
          <w:p w:rsidR="00880768" w:rsidRDefault="00880768" w:rsidP="00880768">
            <w:r>
              <w:t>1 312</w:t>
            </w:r>
          </w:p>
        </w:tc>
      </w:tr>
      <w:tr w:rsidR="00880768" w:rsidTr="00880768">
        <w:trPr>
          <w:trHeight w:val="380"/>
        </w:trPr>
        <w:tc>
          <w:tcPr>
            <w:tcW w:w="5320" w:type="dxa"/>
          </w:tcPr>
          <w:p w:rsidR="00880768" w:rsidRDefault="00880768" w:rsidP="00880768">
            <w:r>
              <w:t>Resultat etter skatt</w:t>
            </w:r>
          </w:p>
        </w:tc>
        <w:tc>
          <w:tcPr>
            <w:tcW w:w="1400" w:type="dxa"/>
          </w:tcPr>
          <w:p w:rsidR="00880768" w:rsidRDefault="00880768" w:rsidP="00880768">
            <w:r>
              <w:t>1 103</w:t>
            </w:r>
          </w:p>
        </w:tc>
        <w:tc>
          <w:tcPr>
            <w:tcW w:w="1400" w:type="dxa"/>
          </w:tcPr>
          <w:p w:rsidR="00880768" w:rsidRDefault="00880768" w:rsidP="00880768">
            <w:r>
              <w:t xml:space="preserve">645 </w:t>
            </w:r>
          </w:p>
        </w:tc>
        <w:tc>
          <w:tcPr>
            <w:tcW w:w="1400" w:type="dxa"/>
          </w:tcPr>
          <w:p w:rsidR="00880768" w:rsidRDefault="00880768" w:rsidP="00880768">
            <w:r>
              <w:t>813</w:t>
            </w:r>
          </w:p>
        </w:tc>
      </w:tr>
      <w:tr w:rsidR="00880768" w:rsidTr="00880768">
        <w:trPr>
          <w:trHeight w:val="640"/>
        </w:trPr>
        <w:tc>
          <w:tcPr>
            <w:tcW w:w="5320" w:type="dxa"/>
          </w:tcPr>
          <w:p w:rsidR="00880768" w:rsidRDefault="00880768" w:rsidP="00880768">
            <w:r>
              <w:t>Resultat etter skatt, justert for endring i mer-/</w:t>
            </w:r>
            <w:r>
              <w:rPr>
                <w:sz w:val="22"/>
              </w:rPr>
              <w:br/>
            </w:r>
            <w:r>
              <w:t>mindreinntekt (utbyttegrunnlaget)</w:t>
            </w:r>
          </w:p>
        </w:tc>
        <w:tc>
          <w:tcPr>
            <w:tcW w:w="1400" w:type="dxa"/>
          </w:tcPr>
          <w:p w:rsidR="00880768" w:rsidRDefault="00880768" w:rsidP="00880768">
            <w:r>
              <w:t>1 427</w:t>
            </w:r>
          </w:p>
        </w:tc>
        <w:tc>
          <w:tcPr>
            <w:tcW w:w="1400" w:type="dxa"/>
          </w:tcPr>
          <w:p w:rsidR="00880768" w:rsidRDefault="00880768" w:rsidP="00880768">
            <w:r>
              <w:t>1 398</w:t>
            </w:r>
          </w:p>
        </w:tc>
        <w:tc>
          <w:tcPr>
            <w:tcW w:w="1400" w:type="dxa"/>
          </w:tcPr>
          <w:p w:rsidR="00880768" w:rsidRDefault="00880768" w:rsidP="00880768">
            <w:r>
              <w:t>1 304</w:t>
            </w:r>
          </w:p>
        </w:tc>
      </w:tr>
      <w:tr w:rsidR="00880768" w:rsidTr="00880768">
        <w:trPr>
          <w:trHeight w:val="380"/>
        </w:trPr>
        <w:tc>
          <w:tcPr>
            <w:tcW w:w="5320" w:type="dxa"/>
          </w:tcPr>
          <w:p w:rsidR="00880768" w:rsidRDefault="00880768" w:rsidP="00880768">
            <w:r>
              <w:t>Investeringer</w:t>
            </w:r>
          </w:p>
        </w:tc>
        <w:tc>
          <w:tcPr>
            <w:tcW w:w="1400" w:type="dxa"/>
          </w:tcPr>
          <w:p w:rsidR="00880768" w:rsidRDefault="00880768" w:rsidP="00880768">
            <w:r>
              <w:t>5 820</w:t>
            </w:r>
          </w:p>
        </w:tc>
        <w:tc>
          <w:tcPr>
            <w:tcW w:w="1400" w:type="dxa"/>
          </w:tcPr>
          <w:p w:rsidR="00880768" w:rsidRDefault="00880768" w:rsidP="00880768">
            <w:r>
              <w:t>7 695</w:t>
            </w:r>
          </w:p>
        </w:tc>
        <w:tc>
          <w:tcPr>
            <w:tcW w:w="1400" w:type="dxa"/>
          </w:tcPr>
          <w:p w:rsidR="00880768" w:rsidRDefault="00880768" w:rsidP="00880768">
            <w:r>
              <w:t>9 139</w:t>
            </w:r>
          </w:p>
        </w:tc>
      </w:tr>
      <w:tr w:rsidR="00880768" w:rsidTr="00880768">
        <w:trPr>
          <w:trHeight w:val="380"/>
        </w:trPr>
        <w:tc>
          <w:tcPr>
            <w:tcW w:w="5320" w:type="dxa"/>
          </w:tcPr>
          <w:p w:rsidR="00880768" w:rsidRDefault="00880768" w:rsidP="00880768">
            <w:r>
              <w:t>Varige driftsmidler</w:t>
            </w:r>
          </w:p>
        </w:tc>
        <w:tc>
          <w:tcPr>
            <w:tcW w:w="1400" w:type="dxa"/>
          </w:tcPr>
          <w:p w:rsidR="00880768" w:rsidRDefault="00880768" w:rsidP="00880768">
            <w:r>
              <w:t>30 215</w:t>
            </w:r>
          </w:p>
        </w:tc>
        <w:tc>
          <w:tcPr>
            <w:tcW w:w="1400" w:type="dxa"/>
          </w:tcPr>
          <w:p w:rsidR="00880768" w:rsidRDefault="00880768" w:rsidP="00880768">
            <w:r>
              <w:t>33 861</w:t>
            </w:r>
          </w:p>
        </w:tc>
        <w:tc>
          <w:tcPr>
            <w:tcW w:w="1400" w:type="dxa"/>
          </w:tcPr>
          <w:p w:rsidR="00880768" w:rsidRDefault="00880768" w:rsidP="00880768">
            <w:r>
              <w:t>35 653</w:t>
            </w:r>
          </w:p>
        </w:tc>
      </w:tr>
      <w:tr w:rsidR="00880768" w:rsidTr="00880768">
        <w:trPr>
          <w:trHeight w:val="380"/>
        </w:trPr>
        <w:tc>
          <w:tcPr>
            <w:tcW w:w="5320" w:type="dxa"/>
          </w:tcPr>
          <w:p w:rsidR="00880768" w:rsidRDefault="00880768" w:rsidP="00880768">
            <w:r>
              <w:t>Egenkapital</w:t>
            </w:r>
          </w:p>
        </w:tc>
        <w:tc>
          <w:tcPr>
            <w:tcW w:w="1400" w:type="dxa"/>
          </w:tcPr>
          <w:p w:rsidR="00880768" w:rsidRDefault="00880768" w:rsidP="00880768">
            <w:r>
              <w:t>13 605</w:t>
            </w:r>
          </w:p>
        </w:tc>
        <w:tc>
          <w:tcPr>
            <w:tcW w:w="1400" w:type="dxa"/>
          </w:tcPr>
          <w:p w:rsidR="00880768" w:rsidRDefault="00880768" w:rsidP="00880768">
            <w:r>
              <w:t>13 867</w:t>
            </w:r>
          </w:p>
        </w:tc>
        <w:tc>
          <w:tcPr>
            <w:tcW w:w="1400" w:type="dxa"/>
          </w:tcPr>
          <w:p w:rsidR="00880768" w:rsidRDefault="00880768" w:rsidP="00880768">
            <w:r>
              <w:t>14 011</w:t>
            </w:r>
          </w:p>
        </w:tc>
      </w:tr>
      <w:tr w:rsidR="00880768" w:rsidTr="00880768">
        <w:trPr>
          <w:trHeight w:val="380"/>
        </w:trPr>
        <w:tc>
          <w:tcPr>
            <w:tcW w:w="5320" w:type="dxa"/>
          </w:tcPr>
          <w:p w:rsidR="00880768" w:rsidRDefault="00880768" w:rsidP="00880768">
            <w:r>
              <w:t>Egenkapitalrentabilitet etter skatt</w:t>
            </w:r>
            <w:r>
              <w:rPr>
                <w:rStyle w:val="skrift-hevet"/>
                <w:sz w:val="21"/>
                <w:szCs w:val="21"/>
              </w:rPr>
              <w:t>1</w:t>
            </w:r>
          </w:p>
        </w:tc>
        <w:tc>
          <w:tcPr>
            <w:tcW w:w="1400" w:type="dxa"/>
          </w:tcPr>
          <w:p w:rsidR="00880768" w:rsidRDefault="00880768" w:rsidP="00880768">
            <w:r>
              <w:t>8,4 prosent</w:t>
            </w:r>
          </w:p>
        </w:tc>
        <w:tc>
          <w:tcPr>
            <w:tcW w:w="1400" w:type="dxa"/>
          </w:tcPr>
          <w:p w:rsidR="00880768" w:rsidRDefault="00880768" w:rsidP="00880768">
            <w:r>
              <w:t>4,7 prosent</w:t>
            </w:r>
          </w:p>
        </w:tc>
        <w:tc>
          <w:tcPr>
            <w:tcW w:w="1400" w:type="dxa"/>
          </w:tcPr>
          <w:p w:rsidR="00880768" w:rsidRDefault="00880768" w:rsidP="00880768">
            <w:r>
              <w:t>5,8 prosent</w:t>
            </w:r>
          </w:p>
        </w:tc>
      </w:tr>
      <w:tr w:rsidR="00880768" w:rsidTr="00880768">
        <w:trPr>
          <w:trHeight w:val="380"/>
        </w:trPr>
        <w:tc>
          <w:tcPr>
            <w:tcW w:w="5320" w:type="dxa"/>
          </w:tcPr>
          <w:p w:rsidR="00880768" w:rsidRDefault="00880768" w:rsidP="00880768">
            <w:r>
              <w:t>Egenkapitalprosent</w:t>
            </w:r>
          </w:p>
        </w:tc>
        <w:tc>
          <w:tcPr>
            <w:tcW w:w="1400" w:type="dxa"/>
          </w:tcPr>
          <w:p w:rsidR="00880768" w:rsidRDefault="00880768" w:rsidP="00880768">
            <w:r>
              <w:t>29,9 pr</w:t>
            </w:r>
            <w:r>
              <w:t>o</w:t>
            </w:r>
            <w:r>
              <w:t>sent</w:t>
            </w:r>
          </w:p>
        </w:tc>
        <w:tc>
          <w:tcPr>
            <w:tcW w:w="1400" w:type="dxa"/>
          </w:tcPr>
          <w:p w:rsidR="00880768" w:rsidRDefault="00880768" w:rsidP="00880768">
            <w:r>
              <w:t>27,3 pr</w:t>
            </w:r>
            <w:r>
              <w:t>o</w:t>
            </w:r>
            <w:r>
              <w:t>sent</w:t>
            </w:r>
          </w:p>
        </w:tc>
        <w:tc>
          <w:tcPr>
            <w:tcW w:w="1400" w:type="dxa"/>
          </w:tcPr>
          <w:p w:rsidR="00880768" w:rsidRDefault="00880768" w:rsidP="00880768">
            <w:r>
              <w:t>23,9 pr</w:t>
            </w:r>
            <w:r>
              <w:t>o</w:t>
            </w:r>
            <w:r>
              <w:t>sent</w:t>
            </w:r>
          </w:p>
        </w:tc>
      </w:tr>
    </w:tbl>
    <w:p w:rsidR="00880768" w:rsidRDefault="00880768" w:rsidP="00880768">
      <w:pPr>
        <w:pStyle w:val="tabell-noter"/>
        <w:rPr>
          <w:rFonts w:ascii="UniMyriad Regular" w:hAnsi="UniMyriad Regular" w:cs="UniMyriad Regular"/>
          <w:sz w:val="21"/>
          <w:szCs w:val="21"/>
        </w:rPr>
      </w:pPr>
      <w:r>
        <w:rPr>
          <w:rStyle w:val="skrift-hevet"/>
          <w:sz w:val="17"/>
          <w:szCs w:val="17"/>
        </w:rPr>
        <w:t>1</w:t>
      </w:r>
      <w:r>
        <w:tab/>
        <w:t>Egenkapialrentabilitet etter skatt = Årsresultat etter skatt/Gjennomsnittlig egenkapital de to siste år.</w:t>
      </w:r>
    </w:p>
    <w:p w:rsidR="00880768" w:rsidRDefault="00880768" w:rsidP="00880768">
      <w:r>
        <w:t>Inntektene reguleres av Norges vassdrags- og energidirektorat, som årlig fastsetter en tillatt inntekt. Tillatt inntekt skal over tid dekke kostnadene ved drift og vedlikehold av nettet, samt gi en rimelig avkastning på investert kapital gitt effektiv drift, utnyttelse og utvikling av nettet.</w:t>
      </w:r>
    </w:p>
    <w:p w:rsidR="00880768" w:rsidRDefault="00880768" w:rsidP="00880768">
      <w:pPr>
        <w:pStyle w:val="b-budkaptit"/>
      </w:pPr>
      <w:r>
        <w:t>Kap. 5680 Statnett SF</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880768" w:rsidTr="007A7DAD">
        <w:trPr>
          <w:trHeight w:val="640"/>
        </w:trPr>
        <w:tc>
          <w:tcPr>
            <w:tcW w:w="1140" w:type="dxa"/>
            <w:shd w:val="clear" w:color="auto" w:fill="FFFFFF"/>
          </w:tcPr>
          <w:p w:rsidR="00880768" w:rsidRDefault="00880768" w:rsidP="007A7DAD">
            <w:pPr>
              <w:pStyle w:val="Tabellnavn"/>
            </w:pPr>
            <w:r>
              <w:t>KPAL</w:t>
            </w:r>
          </w:p>
        </w:tc>
        <w:tc>
          <w:tcPr>
            <w:tcW w:w="4560" w:type="dxa"/>
          </w:tcPr>
          <w:p w:rsidR="00880768" w:rsidRDefault="00880768" w:rsidP="007A7DAD">
            <w:pPr>
              <w:pStyle w:val="Tabellnavn"/>
            </w:pPr>
          </w:p>
        </w:tc>
        <w:tc>
          <w:tcPr>
            <w:tcW w:w="1140" w:type="dxa"/>
          </w:tcPr>
          <w:p w:rsidR="00880768" w:rsidRDefault="00880768" w:rsidP="007A7DAD">
            <w:pPr>
              <w:pStyle w:val="Tabellnavn"/>
              <w:jc w:val="right"/>
            </w:pPr>
          </w:p>
        </w:tc>
        <w:tc>
          <w:tcPr>
            <w:tcW w:w="1140" w:type="dxa"/>
          </w:tcPr>
          <w:p w:rsidR="00880768" w:rsidRDefault="00880768" w:rsidP="007A7DAD">
            <w:pPr>
              <w:pStyle w:val="Tabellnavn"/>
              <w:jc w:val="right"/>
            </w:pPr>
          </w:p>
        </w:tc>
        <w:tc>
          <w:tcPr>
            <w:tcW w:w="1140" w:type="dxa"/>
          </w:tcPr>
          <w:p w:rsidR="00880768" w:rsidRDefault="00880768" w:rsidP="007A7DAD">
            <w:pPr>
              <w:jc w:val="right"/>
            </w:pPr>
            <w:r>
              <w:t>(i 1 000 kr)</w:t>
            </w:r>
          </w:p>
        </w:tc>
      </w:tr>
      <w:tr w:rsidR="00880768" w:rsidTr="007A7DAD">
        <w:trPr>
          <w:trHeight w:val="600"/>
        </w:trPr>
        <w:tc>
          <w:tcPr>
            <w:tcW w:w="1140" w:type="dxa"/>
          </w:tcPr>
          <w:p w:rsidR="00880768" w:rsidRDefault="00880768" w:rsidP="007A7DAD">
            <w:r>
              <w:t>Post</w:t>
            </w:r>
          </w:p>
        </w:tc>
        <w:tc>
          <w:tcPr>
            <w:tcW w:w="4560" w:type="dxa"/>
          </w:tcPr>
          <w:p w:rsidR="00880768" w:rsidRDefault="00880768" w:rsidP="007A7DAD">
            <w:r>
              <w:t>Betegnelse</w:t>
            </w:r>
          </w:p>
        </w:tc>
        <w:tc>
          <w:tcPr>
            <w:tcW w:w="1140" w:type="dxa"/>
          </w:tcPr>
          <w:p w:rsidR="00880768" w:rsidRDefault="00880768" w:rsidP="007A7DAD">
            <w:pPr>
              <w:jc w:val="right"/>
            </w:pPr>
            <w:r>
              <w:t>Reg</w:t>
            </w:r>
            <w:r>
              <w:t>n</w:t>
            </w:r>
            <w:r>
              <w:t>skap 2017</w:t>
            </w:r>
          </w:p>
        </w:tc>
        <w:tc>
          <w:tcPr>
            <w:tcW w:w="1140" w:type="dxa"/>
          </w:tcPr>
          <w:p w:rsidR="00880768" w:rsidRDefault="00880768" w:rsidP="007A7DAD">
            <w:pPr>
              <w:jc w:val="right"/>
            </w:pPr>
            <w:r>
              <w:t xml:space="preserve">Saldert </w:t>
            </w:r>
            <w:r>
              <w:rPr>
                <w:sz w:val="22"/>
              </w:rPr>
              <w:br/>
            </w:r>
            <w:r>
              <w:t>budsjett 2018</w:t>
            </w:r>
          </w:p>
        </w:tc>
        <w:tc>
          <w:tcPr>
            <w:tcW w:w="1140" w:type="dxa"/>
          </w:tcPr>
          <w:p w:rsidR="00880768" w:rsidRDefault="00880768" w:rsidP="007A7DAD">
            <w:pPr>
              <w:jc w:val="right"/>
            </w:pPr>
            <w:r>
              <w:t xml:space="preserve">Forslag </w:t>
            </w:r>
            <w:r>
              <w:rPr>
                <w:sz w:val="22"/>
              </w:rPr>
              <w:br/>
            </w:r>
            <w:r>
              <w:t>2019</w:t>
            </w:r>
          </w:p>
        </w:tc>
      </w:tr>
      <w:tr w:rsidR="00880768" w:rsidTr="007A7DAD">
        <w:trPr>
          <w:trHeight w:val="380"/>
        </w:trPr>
        <w:tc>
          <w:tcPr>
            <w:tcW w:w="1140" w:type="dxa"/>
          </w:tcPr>
          <w:p w:rsidR="00880768" w:rsidRDefault="00880768" w:rsidP="007A7DAD">
            <w:r>
              <w:t>85</w:t>
            </w:r>
          </w:p>
        </w:tc>
        <w:tc>
          <w:tcPr>
            <w:tcW w:w="4560" w:type="dxa"/>
          </w:tcPr>
          <w:p w:rsidR="00880768" w:rsidRDefault="00880768" w:rsidP="007A7DAD">
            <w:r>
              <w:t xml:space="preserve">Utbytte </w:t>
            </w:r>
          </w:p>
        </w:tc>
        <w:tc>
          <w:tcPr>
            <w:tcW w:w="1140" w:type="dxa"/>
          </w:tcPr>
          <w:p w:rsidR="00880768" w:rsidRDefault="00880768" w:rsidP="007A7DAD">
            <w:pPr>
              <w:jc w:val="right"/>
            </w:pPr>
            <w:r>
              <w:t>350 000</w:t>
            </w:r>
          </w:p>
        </w:tc>
        <w:tc>
          <w:tcPr>
            <w:tcW w:w="1140" w:type="dxa"/>
          </w:tcPr>
          <w:p w:rsidR="00880768" w:rsidRDefault="00880768" w:rsidP="007A7DAD">
            <w:pPr>
              <w:jc w:val="right"/>
            </w:pPr>
            <w:r>
              <w:t>336 000</w:t>
            </w:r>
          </w:p>
        </w:tc>
        <w:tc>
          <w:tcPr>
            <w:tcW w:w="1140" w:type="dxa"/>
          </w:tcPr>
          <w:p w:rsidR="00880768" w:rsidRDefault="00880768" w:rsidP="007A7DAD">
            <w:pPr>
              <w:jc w:val="right"/>
            </w:pPr>
            <w:r>
              <w:t>443 000</w:t>
            </w:r>
          </w:p>
        </w:tc>
      </w:tr>
      <w:tr w:rsidR="00880768" w:rsidTr="007A7DAD">
        <w:trPr>
          <w:trHeight w:val="380"/>
        </w:trPr>
        <w:tc>
          <w:tcPr>
            <w:tcW w:w="1140" w:type="dxa"/>
          </w:tcPr>
          <w:p w:rsidR="00880768" w:rsidRDefault="00880768" w:rsidP="007A7DAD"/>
        </w:tc>
        <w:tc>
          <w:tcPr>
            <w:tcW w:w="4560" w:type="dxa"/>
          </w:tcPr>
          <w:p w:rsidR="00880768" w:rsidRDefault="00880768" w:rsidP="007A7DAD">
            <w:r>
              <w:t>Sum kap. 5680</w:t>
            </w:r>
          </w:p>
        </w:tc>
        <w:tc>
          <w:tcPr>
            <w:tcW w:w="1140" w:type="dxa"/>
          </w:tcPr>
          <w:p w:rsidR="00880768" w:rsidRDefault="00880768" w:rsidP="007A7DAD">
            <w:pPr>
              <w:jc w:val="right"/>
            </w:pPr>
            <w:r>
              <w:t>350 000</w:t>
            </w:r>
          </w:p>
        </w:tc>
        <w:tc>
          <w:tcPr>
            <w:tcW w:w="1140" w:type="dxa"/>
          </w:tcPr>
          <w:p w:rsidR="00880768" w:rsidRDefault="00880768" w:rsidP="007A7DAD">
            <w:pPr>
              <w:jc w:val="right"/>
            </w:pPr>
            <w:r>
              <w:t>336 000</w:t>
            </w:r>
          </w:p>
        </w:tc>
        <w:tc>
          <w:tcPr>
            <w:tcW w:w="1140" w:type="dxa"/>
          </w:tcPr>
          <w:p w:rsidR="00880768" w:rsidRDefault="00880768" w:rsidP="007A7DAD">
            <w:pPr>
              <w:jc w:val="right"/>
            </w:pPr>
            <w:r>
              <w:t>443 000</w:t>
            </w:r>
          </w:p>
        </w:tc>
      </w:tr>
    </w:tbl>
    <w:p w:rsidR="00880768" w:rsidRDefault="00880768" w:rsidP="00880768">
      <w:pPr>
        <w:pStyle w:val="avsnitt-undertittel"/>
      </w:pPr>
      <w:r>
        <w:t>Vedrørende 2018</w:t>
      </w:r>
    </w:p>
    <w:p w:rsidR="00880768" w:rsidRDefault="00880768" w:rsidP="00880768">
      <w:r>
        <w:t>Ved Stortingets vedtak av 15. juni 2018 ble post 85 redusert med 10 mill. kroner, jf. Prop. 85 S (2017–2018) og Innst. 400 S (2017–2018).</w:t>
      </w:r>
    </w:p>
    <w:p w:rsidR="00880768" w:rsidRDefault="00880768" w:rsidP="00880768">
      <w:pPr>
        <w:pStyle w:val="b-post"/>
      </w:pPr>
      <w:r>
        <w:lastRenderedPageBreak/>
        <w:t>Post 85 Utbytte</w:t>
      </w:r>
    </w:p>
    <w:p w:rsidR="00880768" w:rsidRDefault="00880768" w:rsidP="00880768">
      <w:r>
        <w:t>Ved behandlingen av Prop. 1 S (2016–2017) ble utbyttepolitikken på 25 prosent av utbyttegrun</w:t>
      </w:r>
      <w:r>
        <w:t>n</w:t>
      </w:r>
      <w:r>
        <w:t>laget forlenget frem til og med 2018.</w:t>
      </w:r>
    </w:p>
    <w:p w:rsidR="00880768" w:rsidRDefault="00880768" w:rsidP="00880768">
      <w:r>
        <w:t>For regnskapsåret 2018 vil et utbytte på 25 prosent av resultat etter skatt, justert for endring i mer-/mindreinntekt utgjøre 443 mill. kroner basert på siste resultatanslag (1 772 mill. kroner). E</w:t>
      </w:r>
      <w:r>
        <w:t>n</w:t>
      </w:r>
      <w:r>
        <w:t>delig vedtak om utbytte fastsettes på foretaksmøte våren 2019 basert på faktisk resultat for 2018.</w:t>
      </w:r>
    </w:p>
    <w:p w:rsidR="00880768" w:rsidRDefault="00880768" w:rsidP="00880768">
      <w:pPr>
        <w:pStyle w:val="Undertittel"/>
      </w:pPr>
      <w:r>
        <w:t xml:space="preserve">Enova SF </w:t>
      </w:r>
    </w:p>
    <w:p w:rsidR="00880768" w:rsidRDefault="00880768" w:rsidP="00880768">
      <w:r>
        <w:t>Ansvaret for oppfølgingen av eierskapet i Enova ble overført fra Olje- og energidepartementet til Klima- og miljødepartementet 1. mai 2018, jf. kongelig resolusjon av 27. april 2018. Fra 1. mai 2018 ble også Olje- og energidepartementets partsforhold i styringsavtalen med Enova av 14. d</w:t>
      </w:r>
      <w:r>
        <w:t>e</w:t>
      </w:r>
      <w:r>
        <w:t>sember 2016, overført til Klima- og miljødepartementet. Det vises til Klima- og miljødeparteme</w:t>
      </w:r>
      <w:r>
        <w:t>n</w:t>
      </w:r>
      <w:r>
        <w:t xml:space="preserve">tets budsjettproposisjon for en mer detaljert omtale av Enova. </w:t>
      </w:r>
    </w:p>
    <w:p w:rsidR="00880768" w:rsidRDefault="00880768" w:rsidP="00880768">
      <w:pPr>
        <w:pStyle w:val="avsnitt-tittel"/>
      </w:pPr>
      <w:r>
        <w:t>Resultatrapport 2017</w:t>
      </w:r>
    </w:p>
    <w:p w:rsidR="00880768" w:rsidRDefault="00880768" w:rsidP="00880768">
      <w:r>
        <w:t>I 2017 regnskapsførte Enova et administrasjonstilskudd på om lag 157 mill. kroner. Enova hadde et positivt årsresultat på om lag 7 mill. kroner, som ble overført til annen egenkapital. Annen egenk</w:t>
      </w:r>
      <w:r>
        <w:t>a</w:t>
      </w:r>
      <w:r>
        <w:t>pital var om lag 22,2 mill. kroner per 31. desember 2017.</w:t>
      </w:r>
    </w:p>
    <w:p w:rsidR="00880768" w:rsidRDefault="00880768" w:rsidP="00880768">
      <w:r>
        <w:t>Det ble inngått en ny fireårig styringsavtale med Enova i desember 2016. Med denne avtalen dreies Enovas oppmerksomhet over mot innovasjon og utvikling av nye energi- og klimaløsninger tilpa</w:t>
      </w:r>
      <w:r>
        <w:t>s</w:t>
      </w:r>
      <w:r>
        <w:t>set lavutslippssamfunnet. Satsingen på å redusere utslipp i transportsektoren og andre i</w:t>
      </w:r>
      <w:r>
        <w:t>k</w:t>
      </w:r>
      <w:r>
        <w:t>ke-kvotepliktige næringer styrkes.</w:t>
      </w:r>
    </w:p>
    <w:p w:rsidR="00880768" w:rsidRDefault="00880768" w:rsidP="00880768">
      <w:r>
        <w:t>Enova og Klima- og energifondets formål er å bidra til reduserte klimagassutslipp og styrket fors</w:t>
      </w:r>
      <w:r>
        <w:t>y</w:t>
      </w:r>
      <w:r>
        <w:t>ningssikkerhet for energi, samt teknologiutvikling som på lengre sikt også bidrar til reduserte kl</w:t>
      </w:r>
      <w:r>
        <w:t>i</w:t>
      </w:r>
      <w:r>
        <w:t>magassutslipp. I styringsavtalen har Enova tre delmål som presiserer formålet nærmere:</w:t>
      </w:r>
    </w:p>
    <w:p w:rsidR="00880768" w:rsidRDefault="00880768" w:rsidP="00880768">
      <w:pPr>
        <w:pStyle w:val="avsnitt-undertittel"/>
      </w:pPr>
      <w:r>
        <w:t>Reduserte klimagassutslipp som bidrar til å oppfylle Norges klimaforpliktelse for 2030</w:t>
      </w:r>
    </w:p>
    <w:p w:rsidR="00880768" w:rsidRDefault="00880768" w:rsidP="00880768">
      <w:r>
        <w:t>Enova skal prioritere prosjekter som gir reduserte klimagassutslipp. Transport står for over hal</w:t>
      </w:r>
      <w:r>
        <w:t>v</w:t>
      </w:r>
      <w:r>
        <w:t>parten av ikke-kvotepliktige klimagassutslipp. Enova har derfor mye oppmerksomhet rettet mot teknologier og løsninger som kan redusere transportutslipp. Til sammen ga Enova tilsagn om ti</w:t>
      </w:r>
      <w:r>
        <w:t>l</w:t>
      </w:r>
      <w:r>
        <w:t>skudd på om lag 1,1 mrd. kroner til prosjekter i transportsektoren i 2017. Satsingen er bredt innre</w:t>
      </w:r>
      <w:r>
        <w:t>t</w:t>
      </w:r>
      <w:r>
        <w:t xml:space="preserve">tet mot både gods- og persontransport på land og til sjøs. Enova støtter blant annet utbygging av ladeinfrastruktur og landstrøm, produksjon av biodrivstoff og utvikling av ny transportrelatert energi- og klimateknologi. </w:t>
      </w:r>
    </w:p>
    <w:p w:rsidR="00880768" w:rsidRDefault="00880768" w:rsidP="00880768">
      <w:pPr>
        <w:pStyle w:val="avsnitt-undertittel"/>
      </w:pPr>
      <w:r>
        <w:t>Økt innovasjon innen energi- og klimateknologi tilpasset omstillingen til lavutslippssa</w:t>
      </w:r>
      <w:r>
        <w:t>m</w:t>
      </w:r>
      <w:r>
        <w:t xml:space="preserve">funnet. </w:t>
      </w:r>
    </w:p>
    <w:p w:rsidR="00880768" w:rsidRDefault="00880768" w:rsidP="00880768">
      <w:r>
        <w:t>Enova skal prioritere innsatsen der mulighetene for å påvirke utviklingen er størst, og mot teknol</w:t>
      </w:r>
      <w:r>
        <w:t>o</w:t>
      </w:r>
      <w:r>
        <w:t>gier og løsninger som er tilpasset lavutslippssamfunnet. Målet med teknologiprosjektene er å høste erfaringer som bidrar til kompetanseutvikling, innovasjon og spredning av teknologi både nasjonalt og internasjonalt. I 2017 ga Enova tilsagn om støtte på til sammen nesten 800 mill. kroner til te</w:t>
      </w:r>
      <w:r>
        <w:t>k</w:t>
      </w:r>
      <w:r>
        <w:t xml:space="preserve">nologiprosjekter. Blant annet støttet Enova </w:t>
      </w:r>
      <w:proofErr w:type="gramStart"/>
      <w:r>
        <w:t>et</w:t>
      </w:r>
      <w:proofErr w:type="gramEnd"/>
      <w:r>
        <w:t xml:space="preserve"> helelektrisk autonomt containerskip, fire bøyelastere som fanger og tar i bruk VOC-gasser, et pilotanlegg for energi- og klimaeffektiv produksjon av magnesium og silika, og et pilotanlegg for produksjon av biodrivstoff fra skogsavfall. I virkemi</w:t>
      </w:r>
      <w:r>
        <w:t>d</w:t>
      </w:r>
      <w:r>
        <w:t xml:space="preserve">delutformingen legger Enova til rette for global spredning og påfølgende utslippsreduksjoner også utenfor Norge. Gjennom rådgivning og finansiell støtte reduserer Enova aktørenes risiko og øker </w:t>
      </w:r>
      <w:r>
        <w:lastRenderedPageBreak/>
        <w:t>takten på energiomleggingen mot mer klimavennlige, energieffektive og konkurransedyktige sek</w:t>
      </w:r>
      <w:r>
        <w:t>t</w:t>
      </w:r>
      <w:r>
        <w:t>orer.</w:t>
      </w:r>
    </w:p>
    <w:p w:rsidR="00880768" w:rsidRDefault="00880768" w:rsidP="00880768">
      <w:pPr>
        <w:pStyle w:val="avsnitt-undertittel"/>
      </w:pPr>
      <w:r>
        <w:t xml:space="preserve">Styrket forsyningssikkerhet gjennom fleksibel og effektiv effekt- og energibruk. </w:t>
      </w:r>
    </w:p>
    <w:p w:rsidR="00880768" w:rsidRDefault="00880768" w:rsidP="00880768">
      <w:r>
        <w:t>Enova skal stimulere til økt innovasjonstakt og en utvikling som underbygger og forsterker fors</w:t>
      </w:r>
      <w:r>
        <w:t>y</w:t>
      </w:r>
      <w:r>
        <w:t>ningssikkerheten. Svært mange klimatiltak innebærer bruk av elektrisitet i stedet for fossile ene</w:t>
      </w:r>
      <w:r>
        <w:t>r</w:t>
      </w:r>
      <w:r>
        <w:t>gibærere, og et robust, effektivt og fleksibelt energisystem er en forutsetning for omstillingen til lavutslippssamfunnet. Tiltak som bidrar til å begrense belastningen på nettet er viktig for å sikre at omstillingen til lavutslippssamfunnet ikke trekker med seg store kostnader i energisektoren og unødvendige naturinngrep. Enova støtter opp under en utvikling som blant annet innebærer redu</w:t>
      </w:r>
      <w:r>
        <w:t>k</w:t>
      </w:r>
      <w:r>
        <w:t>sjon av spisslast gjennom for eksempel bedre isolerte bygg, økt fleksibilitet mellom energibærere i form av for eksempel fjernvarme, mer fleksibilitet i elektrisitetsbruken i form av for eksempel fjernstyring av apparater, bedre nettplanlegging gjennom mer informasjon om forbruk og bedre integrerte områdeløsninger med elementer av de foregående.</w:t>
      </w:r>
    </w:p>
    <w:p w:rsidR="00880768" w:rsidRDefault="00880768" w:rsidP="00880768">
      <w:r>
        <w:t>Styringsavtalen stiller også opp særlige vilkår på enkelte områder, som Enova skal følge opp gje</w:t>
      </w:r>
      <w:r>
        <w:t>n</w:t>
      </w:r>
      <w:r>
        <w:t>nom sine programmer. Enova skal:</w:t>
      </w:r>
    </w:p>
    <w:p w:rsidR="00880768" w:rsidRDefault="00880768" w:rsidP="00880768">
      <w:pPr>
        <w:pStyle w:val="Liste"/>
      </w:pPr>
      <w:r>
        <w:t xml:space="preserve">bidra til utvikling av drivstoffinfrastruktur for utslippsfri land- og sjøtransport, herunder elektrisitet og hydrogen. </w:t>
      </w:r>
    </w:p>
    <w:p w:rsidR="00880768" w:rsidRDefault="00880768" w:rsidP="00880768">
      <w:pPr>
        <w:pStyle w:val="Liste"/>
      </w:pPr>
      <w:proofErr w:type="gramStart"/>
      <w:r>
        <w:t>tilby en rettighetsbasert ordning for offentlig tilgjengelig ladeinfrastruktur for elbil.</w:t>
      </w:r>
      <w:proofErr w:type="gramEnd"/>
      <w:r>
        <w:t xml:space="preserve"> Støtten skal ikke gjelde for privatpersoner. </w:t>
      </w:r>
    </w:p>
    <w:p w:rsidR="00880768" w:rsidRDefault="00880768" w:rsidP="00880768">
      <w:pPr>
        <w:pStyle w:val="Liste"/>
      </w:pPr>
      <w:proofErr w:type="gramStart"/>
      <w:r>
        <w:t>tilby en rettighetsbasert ordning for enøktiltak i husholdninger.</w:t>
      </w:r>
      <w:proofErr w:type="gramEnd"/>
      <w:r>
        <w:t xml:space="preserve"> Ordningen skal være knyttet til skattesystemet slik at brukere også kan velge å få utbetalt støtten som en del av det årlige skatteoppgjøret. Enova skal årlig stille til disposisjon minimum 250 mill. kroner til denne ordningen. </w:t>
      </w:r>
    </w:p>
    <w:p w:rsidR="00880768" w:rsidRDefault="00880768" w:rsidP="00880768">
      <w:pPr>
        <w:pStyle w:val="Liste"/>
      </w:pPr>
      <w:r>
        <w:t xml:space="preserve">ha et landsdekkende tilbud av informasjons- og rådgivningstjenester. </w:t>
      </w:r>
    </w:p>
    <w:p w:rsidR="00880768" w:rsidRDefault="00880768" w:rsidP="00880768">
      <w:pPr>
        <w:pStyle w:val="Liste"/>
      </w:pPr>
      <w:proofErr w:type="gramStart"/>
      <w:r>
        <w:t>ivareta driften og utviklingen av energimerkeordningen og ordningen for energivurdering av tekniske anlegg.</w:t>
      </w:r>
      <w:proofErr w:type="gramEnd"/>
      <w:r>
        <w:t xml:space="preserve"> </w:t>
      </w:r>
    </w:p>
    <w:p w:rsidR="00880768" w:rsidRDefault="00880768" w:rsidP="00880768">
      <w:r>
        <w:t>Enova har bred aktivitet rettet mot drivstoffinfrastruktur for utslippsfri land- og sjøtransport og tildelte i 2017 om lag 340 mill. kroner i støtte til slike prosjekter. Enova støtter hurtigladeinfr</w:t>
      </w:r>
      <w:r>
        <w:t>a</w:t>
      </w:r>
      <w:r>
        <w:t>struktur for elbiler, landstrøm til skip, hydrogeninfrastruktur, nødvendig infrastruktur i forbindelse med støtte til innkjøp av tyngre nullutslipps- og biogasskjøretøy og infrastruktur for kommunal og fylkeskommunal kollektivtransport. Denne støtten skal bygge opp under en markedsdrevet utby</w:t>
      </w:r>
      <w:r>
        <w:t>g</w:t>
      </w:r>
      <w:r>
        <w:t>ging av infrastruktur og bidra til å skape varig markedsendring. Enova har etablert et eget program for hydrogenfylleinfrastruktur med i utgangspunktet årlige utlysninger, men utlysningstakten vil kunne tilpasses markedsresponsen. I 2017 fikk tre prosjekter for hydrogenfyllestasjoner tilsagn om støtte under programmet. To av hydrogenstasjonene er planlagt bygget i Akershus, en på Ås og en i Skedsmo, mens den tredje er planlagt bygget på Ryen i Oslo. Søknadsfristen for prosjekter i årets runde gikk ut 19. september 2018. Søknadene behandles av Enova med sikte på tildeling innen utløpet av 2018.</w:t>
      </w:r>
    </w:p>
    <w:p w:rsidR="00880768" w:rsidRDefault="00880768" w:rsidP="00880768">
      <w:r>
        <w:t>Den rettighetsbaserte ordningen for enøktiltak i husholdninger, Enova-tilskuddet, viser god fra</w:t>
      </w:r>
      <w:r>
        <w:t>m</w:t>
      </w:r>
      <w:r>
        <w:t>gang med 8 123 støttede prosjekter i 2017. Utbetalingene er økt fra 119 mill. kroner i 2016 til 165 mill. kroner i 2017. Enova utformer ordningen med sikte på å kunne utbetale om lag 250 mill. kroner i året i tilskudd til private husholdninger. Væske-til-vann-varmepumpe og luft-til-vann varmepumpe stod hver for om lag 20 prosent av tilskuddene i 2017, etterfulgt av e</w:t>
      </w:r>
      <w:r>
        <w:t>t</w:t>
      </w:r>
      <w:r>
        <w:t>termontering av balansert ventilasjon (14 prosent) og varmestyringssystem (13 prosent). En hel</w:t>
      </w:r>
      <w:r>
        <w:t>e</w:t>
      </w:r>
      <w:r>
        <w:t xml:space="preserve">lektronisk søknadsprosess gjør det enkelt for boligeier å registrere tiltak og få tilskudd. </w:t>
      </w:r>
    </w:p>
    <w:p w:rsidR="00880768" w:rsidRDefault="00880768" w:rsidP="00880768">
      <w:r>
        <w:t xml:space="preserve">Selv om mye av læringen er knyttet til forberedelse og gjennomføring av prosjekter, har Enova også en bred satsing på informasjon og rådgivning. Samlet er dette med på å bidra til økt kunnskap </w:t>
      </w:r>
      <w:r>
        <w:lastRenderedPageBreak/>
        <w:t>i samfunnet om mulighetene for å ta i bruk energieffektive og klimavennlige løsninger. I 2017 fikk 462 husholdninger støtte til innleie av energirådgiver. «Enova svarer» er en nasjonal svartj</w:t>
      </w:r>
      <w:r>
        <w:t>e</w:t>
      </w:r>
      <w:r>
        <w:t>neste for husholdninger og profesjonelle aktører. Svartjenesten besvarte i overkant av 58 000 he</w:t>
      </w:r>
      <w:r>
        <w:t>n</w:t>
      </w:r>
      <w:r>
        <w:t>vendelser i 2017.</w:t>
      </w:r>
    </w:p>
    <w:p w:rsidR="00880768" w:rsidRDefault="00880768" w:rsidP="00880768">
      <w:pPr>
        <w:pStyle w:val="avsnitt-undertittel"/>
      </w:pPr>
      <w:r>
        <w:t>Kontraktsfestede resultater i 2017</w:t>
      </w:r>
    </w:p>
    <w:p w:rsidR="00880768" w:rsidRDefault="00880768" w:rsidP="00880768">
      <w:r>
        <w:t>Enova ga i 2017 tilsagn om støtte på 2,3 mrd. kroner. Disse prosjektene er forventet å utløse i u</w:t>
      </w:r>
      <w:r>
        <w:t>n</w:t>
      </w:r>
      <w:r>
        <w:t xml:space="preserve">derkant av 5 mrd. kroner fra markedet. Dette vil gi en samlet investering på i overkant av 7 mrd. kroner i prosjekter vedtatt i 2017. </w:t>
      </w:r>
    </w:p>
    <w:p w:rsidR="00880768" w:rsidRDefault="00880768" w:rsidP="00880768">
      <w:r>
        <w:t>I tillegg til øvrige rammer i avtalen er det utarbeidet fire målindikatorer som underveis i avtal</w:t>
      </w:r>
      <w:r>
        <w:t>e</w:t>
      </w:r>
      <w:r>
        <w:t>perioden skal gi indikasjon på Enovas måloppnåelse og utgjøre ett av flere grunnlag for styring</w:t>
      </w:r>
      <w:r>
        <w:t>s</w:t>
      </w:r>
      <w:r>
        <w:t>dialogen mellom departementet og Enova. For avtaleperioden 1. januar 2017 til 31. desember 2020 er det lagt til grunn at følgende nivå indikerer god måloppnåelse:</w:t>
      </w:r>
    </w:p>
    <w:p w:rsidR="00880768" w:rsidRDefault="00880768" w:rsidP="00880768">
      <w:pPr>
        <w:pStyle w:val="Liste"/>
      </w:pPr>
      <w:r>
        <w:t>klimaresultater tilsvarende 0,75 mill. tonn CO</w:t>
      </w:r>
      <w:r>
        <w:rPr>
          <w:rStyle w:val="skrift-senket"/>
          <w:sz w:val="21"/>
          <w:szCs w:val="21"/>
        </w:rPr>
        <w:t>2</w:t>
      </w:r>
      <w:r>
        <w:t xml:space="preserve">-ekvivalenter i ikke-kvotepliktig sektor </w:t>
      </w:r>
    </w:p>
    <w:p w:rsidR="00880768" w:rsidRDefault="00880768" w:rsidP="00880768">
      <w:pPr>
        <w:pStyle w:val="Liste"/>
      </w:pPr>
      <w:r>
        <w:t>energiresultater tilsvarende 4 TWh</w:t>
      </w:r>
    </w:p>
    <w:p w:rsidR="00880768" w:rsidRDefault="00880768" w:rsidP="00880768">
      <w:pPr>
        <w:pStyle w:val="Liste"/>
      </w:pPr>
      <w:r>
        <w:t>effektresultater tilsvarende 400 MW</w:t>
      </w:r>
    </w:p>
    <w:p w:rsidR="00880768" w:rsidRDefault="00880768" w:rsidP="00880768">
      <w:pPr>
        <w:pStyle w:val="Liste"/>
      </w:pPr>
      <w:r>
        <w:t>innovasjonsresultater tilsvarende utløst innovasjonskapital på 4 mrd. kroner</w:t>
      </w:r>
    </w:p>
    <w:p w:rsidR="00880768" w:rsidRDefault="00880768" w:rsidP="00880768">
      <w:r>
        <w:t>I 2017 ga Enova tilsagn til prosjekter med kontraktsfestede klimaresultat på 0,31 mill. tonn CO</w:t>
      </w:r>
      <w:r>
        <w:rPr>
          <w:rStyle w:val="skrift-senket"/>
          <w:sz w:val="21"/>
          <w:szCs w:val="21"/>
        </w:rPr>
        <w:t>2</w:t>
      </w:r>
      <w:r>
        <w:t xml:space="preserve">-ekvivalenter, energiresultat på 1,9 TWh, effektresultat på 133 MW og innovasjonsresultat på 1,7 mrd. kroner i privat innovasjonskapital. Enova ga tilsagn om tilskudd til om lag 900 små og store prosjekter og over 8 000 energitiltak i husholdningene. </w:t>
      </w:r>
    </w:p>
    <w:p w:rsidR="00880768" w:rsidRDefault="00880768" w:rsidP="00880768">
      <w:r>
        <w:t>Kontraktsfestet resultat er forventet årlig resultat fra prosjekter som har fått tilsagn om støtte. Stø</w:t>
      </w:r>
      <w:r>
        <w:t>t</w:t>
      </w:r>
      <w:r>
        <w:t xml:space="preserve">ten utbetales etter hvert som støttemottaker kan dokumentere framdrift i prosjektet. </w:t>
      </w:r>
    </w:p>
    <w:p w:rsidR="00532ECF" w:rsidRDefault="00532ECF" w:rsidP="0063539A">
      <w:pPr>
        <w:pStyle w:val="tabell-tittel"/>
      </w:pPr>
      <w:r>
        <w:rPr>
          <w:sz w:val="21"/>
          <w:szCs w:val="21"/>
        </w:rPr>
        <w:t>Klima- og energifondets resultater og disponeringer i 2017, korrigert for kanselleringer</w:t>
      </w:r>
    </w:p>
    <w:p w:rsidR="00880768" w:rsidRDefault="00880768" w:rsidP="00880768">
      <w:pPr>
        <w:pStyle w:val="Tabellnavn"/>
      </w:pPr>
      <w:r>
        <w:t>06J1xt2</w:t>
      </w:r>
    </w:p>
    <w:tbl>
      <w:tblPr>
        <w:tblStyle w:val="StandardTabell"/>
        <w:tblW w:w="0" w:type="auto"/>
        <w:tblLayout w:type="fixed"/>
        <w:tblLook w:val="04A0" w:firstRow="1" w:lastRow="0" w:firstColumn="1" w:lastColumn="0" w:noHBand="0" w:noVBand="1"/>
      </w:tblPr>
      <w:tblGrid>
        <w:gridCol w:w="2220"/>
        <w:gridCol w:w="1500"/>
        <w:gridCol w:w="1480"/>
        <w:gridCol w:w="1400"/>
        <w:gridCol w:w="1400"/>
        <w:gridCol w:w="1520"/>
      </w:tblGrid>
      <w:tr w:rsidR="00880768" w:rsidTr="00880768">
        <w:trPr>
          <w:trHeight w:val="1120"/>
        </w:trPr>
        <w:tc>
          <w:tcPr>
            <w:tcW w:w="2220" w:type="dxa"/>
          </w:tcPr>
          <w:p w:rsidR="00880768" w:rsidRDefault="00880768" w:rsidP="00880768">
            <w:r>
              <w:t>Område</w:t>
            </w:r>
          </w:p>
        </w:tc>
        <w:tc>
          <w:tcPr>
            <w:tcW w:w="1500" w:type="dxa"/>
          </w:tcPr>
          <w:p w:rsidR="00880768" w:rsidRDefault="00880768" w:rsidP="0061751C">
            <w:r>
              <w:t>Disponerte midler</w:t>
            </w:r>
            <w:r w:rsidR="0061751C">
              <w:t xml:space="preserve"> </w:t>
            </w:r>
            <w:r>
              <w:t>(mill. kroner)</w:t>
            </w:r>
          </w:p>
        </w:tc>
        <w:tc>
          <w:tcPr>
            <w:tcW w:w="1480" w:type="dxa"/>
          </w:tcPr>
          <w:p w:rsidR="00880768" w:rsidRDefault="00880768" w:rsidP="0061751C">
            <w:r>
              <w:t>Klimaresu</w:t>
            </w:r>
            <w:r>
              <w:t>l</w:t>
            </w:r>
            <w:r>
              <w:t>tater (kg/tonn CO</w:t>
            </w:r>
            <w:r>
              <w:rPr>
                <w:rStyle w:val="skrift-senket"/>
                <w:sz w:val="19"/>
                <w:szCs w:val="19"/>
              </w:rPr>
              <w:t>2</w:t>
            </w:r>
            <w:r>
              <w:t>- ekv.)</w:t>
            </w:r>
          </w:p>
        </w:tc>
        <w:tc>
          <w:tcPr>
            <w:tcW w:w="1400" w:type="dxa"/>
          </w:tcPr>
          <w:p w:rsidR="00880768" w:rsidRDefault="00880768" w:rsidP="0061751C">
            <w:r>
              <w:t>Energir</w:t>
            </w:r>
            <w:r>
              <w:t>e</w:t>
            </w:r>
            <w:r>
              <w:t>sultater</w:t>
            </w:r>
            <w:r w:rsidR="0061751C">
              <w:t xml:space="preserve"> </w:t>
            </w:r>
            <w:r>
              <w:t>(GWh/år)</w:t>
            </w:r>
          </w:p>
        </w:tc>
        <w:tc>
          <w:tcPr>
            <w:tcW w:w="1400" w:type="dxa"/>
          </w:tcPr>
          <w:p w:rsidR="00880768" w:rsidRDefault="00880768" w:rsidP="0061751C">
            <w:r>
              <w:t>Effektr</w:t>
            </w:r>
            <w:r>
              <w:t>e</w:t>
            </w:r>
            <w:r>
              <w:t>sultater</w:t>
            </w:r>
            <w:r w:rsidR="0061751C">
              <w:t xml:space="preserve"> </w:t>
            </w:r>
            <w:r>
              <w:t>(MW)</w:t>
            </w:r>
          </w:p>
        </w:tc>
        <w:tc>
          <w:tcPr>
            <w:tcW w:w="1520" w:type="dxa"/>
          </w:tcPr>
          <w:p w:rsidR="00880768" w:rsidRDefault="00880768" w:rsidP="0061751C">
            <w:r>
              <w:t>Innov</w:t>
            </w:r>
            <w:r>
              <w:t>a</w:t>
            </w:r>
            <w:r>
              <w:t>sjonsresult</w:t>
            </w:r>
            <w:r>
              <w:t>a</w:t>
            </w:r>
            <w:r>
              <w:t>ter</w:t>
            </w:r>
            <w:r w:rsidR="0061751C">
              <w:t xml:space="preserve"> </w:t>
            </w:r>
            <w:r>
              <w:t>(mill. kroner)</w:t>
            </w:r>
          </w:p>
        </w:tc>
      </w:tr>
      <w:tr w:rsidR="00880768" w:rsidTr="00880768">
        <w:trPr>
          <w:trHeight w:val="380"/>
        </w:trPr>
        <w:tc>
          <w:tcPr>
            <w:tcW w:w="2220" w:type="dxa"/>
          </w:tcPr>
          <w:p w:rsidR="00880768" w:rsidRDefault="00880768" w:rsidP="00880768">
            <w:r>
              <w:t>Industri</w:t>
            </w:r>
          </w:p>
        </w:tc>
        <w:tc>
          <w:tcPr>
            <w:tcW w:w="1500" w:type="dxa"/>
          </w:tcPr>
          <w:p w:rsidR="00880768" w:rsidRDefault="00880768" w:rsidP="00880768">
            <w:r>
              <w:t xml:space="preserve"> 447 </w:t>
            </w:r>
          </w:p>
        </w:tc>
        <w:tc>
          <w:tcPr>
            <w:tcW w:w="1480" w:type="dxa"/>
          </w:tcPr>
          <w:p w:rsidR="00880768" w:rsidRDefault="00880768" w:rsidP="00880768">
            <w:r>
              <w:t xml:space="preserve"> 41 </w:t>
            </w:r>
          </w:p>
        </w:tc>
        <w:tc>
          <w:tcPr>
            <w:tcW w:w="1400" w:type="dxa"/>
          </w:tcPr>
          <w:p w:rsidR="00880768" w:rsidRDefault="00880768" w:rsidP="00880768">
            <w:r>
              <w:t xml:space="preserve"> 554 </w:t>
            </w:r>
          </w:p>
        </w:tc>
        <w:tc>
          <w:tcPr>
            <w:tcW w:w="1400" w:type="dxa"/>
          </w:tcPr>
          <w:p w:rsidR="00880768" w:rsidRDefault="00880768" w:rsidP="00880768">
            <w:r>
              <w:t xml:space="preserve"> 45 </w:t>
            </w:r>
          </w:p>
        </w:tc>
        <w:tc>
          <w:tcPr>
            <w:tcW w:w="1520" w:type="dxa"/>
          </w:tcPr>
          <w:p w:rsidR="00880768" w:rsidRDefault="00880768" w:rsidP="00880768">
            <w:r>
              <w:t xml:space="preserve"> 676 </w:t>
            </w:r>
          </w:p>
        </w:tc>
      </w:tr>
      <w:tr w:rsidR="00880768" w:rsidTr="00880768">
        <w:trPr>
          <w:trHeight w:val="380"/>
        </w:trPr>
        <w:tc>
          <w:tcPr>
            <w:tcW w:w="2220" w:type="dxa"/>
          </w:tcPr>
          <w:p w:rsidR="00880768" w:rsidRDefault="00880768" w:rsidP="00880768">
            <w:r>
              <w:t>Transport</w:t>
            </w:r>
          </w:p>
        </w:tc>
        <w:tc>
          <w:tcPr>
            <w:tcW w:w="1500" w:type="dxa"/>
          </w:tcPr>
          <w:p w:rsidR="00880768" w:rsidRDefault="00880768" w:rsidP="00880768">
            <w:r>
              <w:t xml:space="preserve"> 1 073 </w:t>
            </w:r>
          </w:p>
        </w:tc>
        <w:tc>
          <w:tcPr>
            <w:tcW w:w="1480" w:type="dxa"/>
          </w:tcPr>
          <w:p w:rsidR="00880768" w:rsidRDefault="00880768" w:rsidP="00880768">
            <w:r>
              <w:t xml:space="preserve"> 240 </w:t>
            </w:r>
          </w:p>
        </w:tc>
        <w:tc>
          <w:tcPr>
            <w:tcW w:w="1400" w:type="dxa"/>
          </w:tcPr>
          <w:p w:rsidR="00880768" w:rsidRDefault="00880768" w:rsidP="00880768">
            <w:r>
              <w:t xml:space="preserve"> 838 </w:t>
            </w:r>
          </w:p>
        </w:tc>
        <w:tc>
          <w:tcPr>
            <w:tcW w:w="1400" w:type="dxa"/>
          </w:tcPr>
          <w:p w:rsidR="00880768" w:rsidRDefault="00880768" w:rsidP="00880768">
            <w:r>
              <w:t xml:space="preserve"> 3 </w:t>
            </w:r>
          </w:p>
        </w:tc>
        <w:tc>
          <w:tcPr>
            <w:tcW w:w="1520" w:type="dxa"/>
          </w:tcPr>
          <w:p w:rsidR="00880768" w:rsidRDefault="00880768" w:rsidP="00880768">
            <w:r>
              <w:t xml:space="preserve"> 657 </w:t>
            </w:r>
          </w:p>
        </w:tc>
      </w:tr>
      <w:tr w:rsidR="00880768" w:rsidTr="00880768">
        <w:trPr>
          <w:trHeight w:val="380"/>
        </w:trPr>
        <w:tc>
          <w:tcPr>
            <w:tcW w:w="2220" w:type="dxa"/>
          </w:tcPr>
          <w:p w:rsidR="00880768" w:rsidRDefault="00880768" w:rsidP="00880768">
            <w:r>
              <w:t>Energisystemet</w:t>
            </w:r>
          </w:p>
        </w:tc>
        <w:tc>
          <w:tcPr>
            <w:tcW w:w="1500" w:type="dxa"/>
          </w:tcPr>
          <w:p w:rsidR="00880768" w:rsidRDefault="00880768" w:rsidP="00880768">
            <w:r>
              <w:t xml:space="preserve"> 192 </w:t>
            </w:r>
          </w:p>
        </w:tc>
        <w:tc>
          <w:tcPr>
            <w:tcW w:w="1480" w:type="dxa"/>
          </w:tcPr>
          <w:p w:rsidR="00880768" w:rsidRDefault="00880768" w:rsidP="00880768">
            <w:r>
              <w:t xml:space="preserve"> 12 </w:t>
            </w:r>
          </w:p>
        </w:tc>
        <w:tc>
          <w:tcPr>
            <w:tcW w:w="1400" w:type="dxa"/>
          </w:tcPr>
          <w:p w:rsidR="00880768" w:rsidRDefault="00880768" w:rsidP="00880768">
            <w:r>
              <w:t xml:space="preserve"> 161 </w:t>
            </w:r>
          </w:p>
        </w:tc>
        <w:tc>
          <w:tcPr>
            <w:tcW w:w="1400" w:type="dxa"/>
          </w:tcPr>
          <w:p w:rsidR="00880768" w:rsidRDefault="00880768" w:rsidP="00880768">
            <w:r>
              <w:t xml:space="preserve"> 47 </w:t>
            </w:r>
          </w:p>
        </w:tc>
        <w:tc>
          <w:tcPr>
            <w:tcW w:w="1520" w:type="dxa"/>
          </w:tcPr>
          <w:p w:rsidR="00880768" w:rsidRDefault="00880768" w:rsidP="00880768">
            <w:r>
              <w:t xml:space="preserve"> 35 </w:t>
            </w:r>
          </w:p>
        </w:tc>
      </w:tr>
      <w:tr w:rsidR="00880768" w:rsidTr="00880768">
        <w:trPr>
          <w:trHeight w:val="380"/>
        </w:trPr>
        <w:tc>
          <w:tcPr>
            <w:tcW w:w="2220" w:type="dxa"/>
          </w:tcPr>
          <w:p w:rsidR="00880768" w:rsidRDefault="00880768" w:rsidP="00880768">
            <w:r>
              <w:t>Bygg og eiendom</w:t>
            </w:r>
          </w:p>
        </w:tc>
        <w:tc>
          <w:tcPr>
            <w:tcW w:w="1500" w:type="dxa"/>
          </w:tcPr>
          <w:p w:rsidR="00880768" w:rsidRDefault="00880768" w:rsidP="00880768">
            <w:r>
              <w:t xml:space="preserve"> 448 </w:t>
            </w:r>
          </w:p>
        </w:tc>
        <w:tc>
          <w:tcPr>
            <w:tcW w:w="1480" w:type="dxa"/>
          </w:tcPr>
          <w:p w:rsidR="00880768" w:rsidRDefault="00880768" w:rsidP="00880768">
            <w:r>
              <w:t xml:space="preserve"> 12 </w:t>
            </w:r>
          </w:p>
        </w:tc>
        <w:tc>
          <w:tcPr>
            <w:tcW w:w="1400" w:type="dxa"/>
          </w:tcPr>
          <w:p w:rsidR="00880768" w:rsidRDefault="00880768" w:rsidP="00880768">
            <w:r>
              <w:t xml:space="preserve"> 254 </w:t>
            </w:r>
          </w:p>
        </w:tc>
        <w:tc>
          <w:tcPr>
            <w:tcW w:w="1400" w:type="dxa"/>
          </w:tcPr>
          <w:p w:rsidR="00880768" w:rsidRDefault="00880768" w:rsidP="00880768">
            <w:r>
              <w:t xml:space="preserve"> 39 </w:t>
            </w:r>
          </w:p>
        </w:tc>
        <w:tc>
          <w:tcPr>
            <w:tcW w:w="1520" w:type="dxa"/>
          </w:tcPr>
          <w:p w:rsidR="00880768" w:rsidRDefault="00880768" w:rsidP="00880768">
            <w:r>
              <w:t xml:space="preserve"> 354 </w:t>
            </w:r>
          </w:p>
        </w:tc>
      </w:tr>
      <w:tr w:rsidR="00880768" w:rsidTr="00880768">
        <w:trPr>
          <w:trHeight w:val="380"/>
        </w:trPr>
        <w:tc>
          <w:tcPr>
            <w:tcW w:w="2220" w:type="dxa"/>
          </w:tcPr>
          <w:p w:rsidR="00880768" w:rsidRDefault="00880768" w:rsidP="00880768">
            <w:r>
              <w:t>Bolig og forbruker</w:t>
            </w:r>
          </w:p>
        </w:tc>
        <w:tc>
          <w:tcPr>
            <w:tcW w:w="1500" w:type="dxa"/>
          </w:tcPr>
          <w:p w:rsidR="00880768" w:rsidRDefault="00880768" w:rsidP="00880768">
            <w:r>
              <w:t xml:space="preserve"> 165 </w:t>
            </w:r>
          </w:p>
        </w:tc>
        <w:tc>
          <w:tcPr>
            <w:tcW w:w="1480" w:type="dxa"/>
          </w:tcPr>
          <w:p w:rsidR="00880768" w:rsidRDefault="00880768" w:rsidP="00880768">
            <w:r>
              <w:t xml:space="preserve"> 5 </w:t>
            </w:r>
          </w:p>
        </w:tc>
        <w:tc>
          <w:tcPr>
            <w:tcW w:w="1400" w:type="dxa"/>
          </w:tcPr>
          <w:p w:rsidR="00880768" w:rsidRDefault="00880768" w:rsidP="00880768">
            <w:r>
              <w:t xml:space="preserve"> 52 </w:t>
            </w:r>
          </w:p>
        </w:tc>
        <w:tc>
          <w:tcPr>
            <w:tcW w:w="1400" w:type="dxa"/>
          </w:tcPr>
          <w:p w:rsidR="00880768" w:rsidRDefault="00880768" w:rsidP="00880768"/>
        </w:tc>
        <w:tc>
          <w:tcPr>
            <w:tcW w:w="1520" w:type="dxa"/>
          </w:tcPr>
          <w:p w:rsidR="00880768" w:rsidRDefault="00880768" w:rsidP="00880768"/>
        </w:tc>
      </w:tr>
      <w:tr w:rsidR="00880768" w:rsidTr="00880768">
        <w:trPr>
          <w:trHeight w:val="380"/>
        </w:trPr>
        <w:tc>
          <w:tcPr>
            <w:tcW w:w="2220" w:type="dxa"/>
          </w:tcPr>
          <w:p w:rsidR="00880768" w:rsidRDefault="00880768" w:rsidP="00880768">
            <w:r>
              <w:t>Internasjonalt</w:t>
            </w:r>
          </w:p>
        </w:tc>
        <w:tc>
          <w:tcPr>
            <w:tcW w:w="1500" w:type="dxa"/>
          </w:tcPr>
          <w:p w:rsidR="00880768" w:rsidRDefault="00880768" w:rsidP="00880768">
            <w:r>
              <w:t xml:space="preserve"> 2 </w:t>
            </w:r>
          </w:p>
        </w:tc>
        <w:tc>
          <w:tcPr>
            <w:tcW w:w="1480" w:type="dxa"/>
          </w:tcPr>
          <w:p w:rsidR="00880768" w:rsidRDefault="00880768" w:rsidP="00880768"/>
        </w:tc>
        <w:tc>
          <w:tcPr>
            <w:tcW w:w="1400" w:type="dxa"/>
          </w:tcPr>
          <w:p w:rsidR="00880768" w:rsidRDefault="00880768" w:rsidP="00880768"/>
        </w:tc>
        <w:tc>
          <w:tcPr>
            <w:tcW w:w="1400" w:type="dxa"/>
          </w:tcPr>
          <w:p w:rsidR="00880768" w:rsidRDefault="00880768" w:rsidP="00880768"/>
        </w:tc>
        <w:tc>
          <w:tcPr>
            <w:tcW w:w="1520" w:type="dxa"/>
          </w:tcPr>
          <w:p w:rsidR="00880768" w:rsidRDefault="00880768" w:rsidP="00880768"/>
        </w:tc>
      </w:tr>
      <w:tr w:rsidR="00880768" w:rsidTr="00880768">
        <w:trPr>
          <w:trHeight w:val="640"/>
        </w:trPr>
        <w:tc>
          <w:tcPr>
            <w:tcW w:w="2220" w:type="dxa"/>
          </w:tcPr>
          <w:p w:rsidR="00880768" w:rsidRDefault="00880768" w:rsidP="00880768">
            <w:r>
              <w:t xml:space="preserve">Rådgivning og </w:t>
            </w:r>
            <w:r>
              <w:rPr>
                <w:sz w:val="22"/>
              </w:rPr>
              <w:br/>
            </w:r>
            <w:r>
              <w:t xml:space="preserve">kommunikasjon </w:t>
            </w:r>
          </w:p>
        </w:tc>
        <w:tc>
          <w:tcPr>
            <w:tcW w:w="1500" w:type="dxa"/>
          </w:tcPr>
          <w:p w:rsidR="00880768" w:rsidRDefault="00880768" w:rsidP="00880768">
            <w:r>
              <w:t xml:space="preserve"> 58 </w:t>
            </w:r>
          </w:p>
        </w:tc>
        <w:tc>
          <w:tcPr>
            <w:tcW w:w="1480" w:type="dxa"/>
          </w:tcPr>
          <w:p w:rsidR="00880768" w:rsidRDefault="00880768" w:rsidP="00880768"/>
        </w:tc>
        <w:tc>
          <w:tcPr>
            <w:tcW w:w="1400" w:type="dxa"/>
          </w:tcPr>
          <w:p w:rsidR="00880768" w:rsidRDefault="00880768" w:rsidP="00880768"/>
        </w:tc>
        <w:tc>
          <w:tcPr>
            <w:tcW w:w="1400" w:type="dxa"/>
          </w:tcPr>
          <w:p w:rsidR="00880768" w:rsidRDefault="00880768" w:rsidP="00880768"/>
        </w:tc>
        <w:tc>
          <w:tcPr>
            <w:tcW w:w="1520" w:type="dxa"/>
          </w:tcPr>
          <w:p w:rsidR="00880768" w:rsidRDefault="00880768" w:rsidP="00880768"/>
        </w:tc>
      </w:tr>
      <w:tr w:rsidR="00880768" w:rsidTr="00880768">
        <w:trPr>
          <w:trHeight w:val="640"/>
        </w:trPr>
        <w:tc>
          <w:tcPr>
            <w:tcW w:w="2220" w:type="dxa"/>
          </w:tcPr>
          <w:p w:rsidR="00880768" w:rsidRDefault="00880768" w:rsidP="00880768">
            <w:r>
              <w:t xml:space="preserve">Eksterne analyser </w:t>
            </w:r>
            <w:r>
              <w:rPr>
                <w:sz w:val="22"/>
              </w:rPr>
              <w:br/>
            </w:r>
            <w:r>
              <w:t>og utviklingstiltak</w:t>
            </w:r>
          </w:p>
        </w:tc>
        <w:tc>
          <w:tcPr>
            <w:tcW w:w="1500" w:type="dxa"/>
          </w:tcPr>
          <w:p w:rsidR="00880768" w:rsidRDefault="00880768" w:rsidP="00880768">
            <w:r>
              <w:t xml:space="preserve"> 41 </w:t>
            </w:r>
          </w:p>
        </w:tc>
        <w:tc>
          <w:tcPr>
            <w:tcW w:w="1480" w:type="dxa"/>
          </w:tcPr>
          <w:p w:rsidR="00880768" w:rsidRDefault="00880768" w:rsidP="00880768"/>
        </w:tc>
        <w:tc>
          <w:tcPr>
            <w:tcW w:w="1400" w:type="dxa"/>
          </w:tcPr>
          <w:p w:rsidR="00880768" w:rsidRDefault="00880768" w:rsidP="00880768"/>
        </w:tc>
        <w:tc>
          <w:tcPr>
            <w:tcW w:w="1400" w:type="dxa"/>
          </w:tcPr>
          <w:p w:rsidR="00880768" w:rsidRDefault="00880768" w:rsidP="00880768"/>
        </w:tc>
        <w:tc>
          <w:tcPr>
            <w:tcW w:w="1520" w:type="dxa"/>
          </w:tcPr>
          <w:p w:rsidR="00880768" w:rsidRDefault="00880768" w:rsidP="00880768"/>
        </w:tc>
      </w:tr>
      <w:tr w:rsidR="00880768" w:rsidTr="00880768">
        <w:trPr>
          <w:trHeight w:val="380"/>
        </w:trPr>
        <w:tc>
          <w:tcPr>
            <w:tcW w:w="2220" w:type="dxa"/>
          </w:tcPr>
          <w:p w:rsidR="00880768" w:rsidRDefault="00880768" w:rsidP="00880768">
            <w:r>
              <w:t>Administrasjon</w:t>
            </w:r>
          </w:p>
        </w:tc>
        <w:tc>
          <w:tcPr>
            <w:tcW w:w="1500" w:type="dxa"/>
          </w:tcPr>
          <w:p w:rsidR="00880768" w:rsidRDefault="00880768" w:rsidP="00880768">
            <w:r>
              <w:t xml:space="preserve"> 157 </w:t>
            </w:r>
          </w:p>
        </w:tc>
        <w:tc>
          <w:tcPr>
            <w:tcW w:w="1480" w:type="dxa"/>
          </w:tcPr>
          <w:p w:rsidR="00880768" w:rsidRDefault="00880768" w:rsidP="00880768"/>
        </w:tc>
        <w:tc>
          <w:tcPr>
            <w:tcW w:w="1400" w:type="dxa"/>
          </w:tcPr>
          <w:p w:rsidR="00880768" w:rsidRDefault="00880768" w:rsidP="00880768"/>
        </w:tc>
        <w:tc>
          <w:tcPr>
            <w:tcW w:w="1400" w:type="dxa"/>
          </w:tcPr>
          <w:p w:rsidR="00880768" w:rsidRDefault="00880768" w:rsidP="00880768"/>
        </w:tc>
        <w:tc>
          <w:tcPr>
            <w:tcW w:w="1520" w:type="dxa"/>
          </w:tcPr>
          <w:p w:rsidR="00880768" w:rsidRDefault="00880768" w:rsidP="00880768"/>
        </w:tc>
      </w:tr>
      <w:tr w:rsidR="00880768" w:rsidTr="00880768">
        <w:trPr>
          <w:trHeight w:val="640"/>
        </w:trPr>
        <w:tc>
          <w:tcPr>
            <w:tcW w:w="2220" w:type="dxa"/>
          </w:tcPr>
          <w:p w:rsidR="00880768" w:rsidRDefault="00880768" w:rsidP="00880768">
            <w:r>
              <w:lastRenderedPageBreak/>
              <w:t>Sum disponerte midler og resultat</w:t>
            </w:r>
          </w:p>
        </w:tc>
        <w:tc>
          <w:tcPr>
            <w:tcW w:w="1500" w:type="dxa"/>
          </w:tcPr>
          <w:p w:rsidR="00880768" w:rsidRDefault="00880768" w:rsidP="00880768">
            <w:r>
              <w:t xml:space="preserve"> 2 583 </w:t>
            </w:r>
          </w:p>
        </w:tc>
        <w:tc>
          <w:tcPr>
            <w:tcW w:w="1480" w:type="dxa"/>
          </w:tcPr>
          <w:p w:rsidR="00880768" w:rsidRDefault="00880768" w:rsidP="00880768">
            <w:r>
              <w:t xml:space="preserve"> 310 </w:t>
            </w:r>
          </w:p>
        </w:tc>
        <w:tc>
          <w:tcPr>
            <w:tcW w:w="1400" w:type="dxa"/>
          </w:tcPr>
          <w:p w:rsidR="00880768" w:rsidRDefault="00880768" w:rsidP="00880768">
            <w:r>
              <w:t xml:space="preserve"> 1 859 </w:t>
            </w:r>
          </w:p>
        </w:tc>
        <w:tc>
          <w:tcPr>
            <w:tcW w:w="1400" w:type="dxa"/>
          </w:tcPr>
          <w:p w:rsidR="00880768" w:rsidRDefault="00880768" w:rsidP="00880768">
            <w:r>
              <w:t xml:space="preserve"> 134 </w:t>
            </w:r>
          </w:p>
        </w:tc>
        <w:tc>
          <w:tcPr>
            <w:tcW w:w="1520" w:type="dxa"/>
          </w:tcPr>
          <w:p w:rsidR="00880768" w:rsidRDefault="00880768" w:rsidP="00880768">
            <w:r>
              <w:t xml:space="preserve"> 1 722 </w:t>
            </w:r>
          </w:p>
        </w:tc>
      </w:tr>
    </w:tbl>
    <w:p w:rsidR="00880768" w:rsidRDefault="00880768" w:rsidP="0061751C">
      <w:r>
        <w:t xml:space="preserve">Enova ga 554 mill. kroner i støtte til 217 industriprosjekter, som utgjorde 19 prosent av totalt tildelt støtte i 2017. Industriprosjektene bidrar sterkt med resultater på alle målindikatorene. Sektoren utløser det største innovasjonsresultatet, og er nest største bidragsyter på klima- og energiresultater. </w:t>
      </w:r>
    </w:p>
    <w:p w:rsidR="00880768" w:rsidRDefault="00880768" w:rsidP="00880768">
      <w:r>
        <w:t>Enova ga 1 073 mill. kroner i støtte til 177 prosjekter innenfor transportsektoren, som utgjorde 46 prosent av totalt tildelt støtte i 2017. Transport er den sektoren som har størst potensial for å gje</w:t>
      </w:r>
      <w:r>
        <w:t>n</w:t>
      </w:r>
      <w:r>
        <w:t>nomføre klimatiltak utenfor kvotepliktig sektor. Transportprosjektene utgjorde mesteparten av kl</w:t>
      </w:r>
      <w:r>
        <w:t>i</w:t>
      </w:r>
      <w:r>
        <w:t xml:space="preserve">maresultatene i 2017, men bidrar også med en svært stor andel av resultatene innenfor energi og innovasjon. </w:t>
      </w:r>
    </w:p>
    <w:p w:rsidR="00880768" w:rsidRDefault="00880768" w:rsidP="00880768">
      <w:r>
        <w:t>Prosjekter som videreutvikler energisystemet mottok i underkant av 200 mill. kroner i støtte, som utgjorde 8 prosent av totalt tildelt støtte i 2017. Av de 36 prosjektene som fikk støtte, var 35 av dem fjernvarmeprosjekter. Denne sektoren bidrar med de største effektresultatene i Enovas port</w:t>
      </w:r>
      <w:r>
        <w:t>e</w:t>
      </w:r>
      <w:r>
        <w:t xml:space="preserve">følje, og er den sektoren som bidrar mest rendyrket til styrking av forsyningssikkerheten. </w:t>
      </w:r>
    </w:p>
    <w:p w:rsidR="00880768" w:rsidRDefault="00880768" w:rsidP="00880768">
      <w:r>
        <w:t>Bygg og eiendom er den sektoren hvor Enova har støttet flest prosjekter i 2017, totalt 498 prosje</w:t>
      </w:r>
      <w:r>
        <w:t>k</w:t>
      </w:r>
      <w:r>
        <w:t>ter, og hvor støtte til eksisterende bygg utgjorde 235 av disse. Til sammen fikk disse prosjektene nærmere 450 mill. kroner i støtte, noe som utgjorde 19 prosent av totalt tildelt støtte i 2017. Pr</w:t>
      </w:r>
      <w:r>
        <w:t>o</w:t>
      </w:r>
      <w:r>
        <w:t>sjektene er hver for seg små, men totalt bidrar denne sektoren spesielt godt på forsyningssikkerhet og noe på innovasjon.</w:t>
      </w:r>
    </w:p>
    <w:p w:rsidR="00880768" w:rsidRDefault="00880768" w:rsidP="00880768">
      <w:r>
        <w:t>Bolig og forbruker er en viktig sektor for å skape et bredt engasjement og fokus på gjennomføring av energi- og klimatiltak. Den er også viktig sett i et energisystemperspektiv for å utvikle samspi</w:t>
      </w:r>
      <w:r>
        <w:t>l</w:t>
      </w:r>
      <w:r>
        <w:t>let mellom energisystem, transport og bygg. Sektoren kjennetegnes av mange små prosjekter. Denne sektoren bidrar med både energi- og klimaresultater. Den viktigste satsingen her er En</w:t>
      </w:r>
      <w:r>
        <w:t>o</w:t>
      </w:r>
      <w:r>
        <w:t>va-tilskuddet, som utgjorde om lag 8 prosent av totalt tildelt støtte i 2017.</w:t>
      </w:r>
    </w:p>
    <w:p w:rsidR="00880768" w:rsidRDefault="00880768" w:rsidP="00880768">
      <w:pPr>
        <w:pStyle w:val="avsnitt-undertittel"/>
      </w:pPr>
      <w:r>
        <w:t>Samlet resultatrapport for avtaleperioden 2012–2016</w:t>
      </w:r>
    </w:p>
    <w:p w:rsidR="00880768" w:rsidRDefault="00880768" w:rsidP="00880768">
      <w:r>
        <w:t>Avtaleperioden ble i 2015 utvidet med ett år for å ta inn nye føringer for satsingen på miljøvennlig transport og en rettighetsbasert ordning for enøktiltak i husholdningene. Resultatmålet ble samtidig økt til 7 TWh innen utgangen av 2016.</w:t>
      </w:r>
    </w:p>
    <w:p w:rsidR="00880768" w:rsidRDefault="00880768" w:rsidP="00880768">
      <w:r>
        <w:t>Korrigert for kanselleringer kontraktsfestet Enova energi- og klimaresultater tilsvarende 9,5 TWh for perioden 2012–2016, og dermed oppfylte resultatmålet med god margin.</w:t>
      </w:r>
    </w:p>
    <w:p w:rsidR="00880768" w:rsidRDefault="00880768" w:rsidP="00880768">
      <w:r>
        <w:t>Tabell 7.9 gir en oversikt over disponerte midler, kontraktsfestet energiresultat, forventet resultat fra igangsatte anlegg, sluttrapporterte energiresultat og realiserte energiresultater per satsingso</w:t>
      </w:r>
      <w:r>
        <w:t>m</w:t>
      </w:r>
      <w:r>
        <w:t>rådeområde for perioden 2012–2016. Tabellen viser at 86 prosent av energiresultatet er knyttet til prosjekter som er igangsatt, sluttrapporterte eller realisert.</w:t>
      </w:r>
    </w:p>
    <w:p w:rsidR="00532ECF" w:rsidRDefault="00532ECF" w:rsidP="0063539A">
      <w:pPr>
        <w:pStyle w:val="tabell-tittel"/>
      </w:pPr>
      <w:r>
        <w:rPr>
          <w:sz w:val="21"/>
          <w:szCs w:val="21"/>
        </w:rPr>
        <w:t>Disponerte midler, kontraktsfestet energiresultat, prosjekter under gjennomføring og sluttrapportert energiresultat etter markedsområde (2012–2016)</w:t>
      </w:r>
      <w:r>
        <w:rPr>
          <w:rStyle w:val="skrift-hevet"/>
          <w:sz w:val="21"/>
          <w:szCs w:val="21"/>
        </w:rPr>
        <w:t>1</w:t>
      </w:r>
    </w:p>
    <w:p w:rsidR="00880768" w:rsidRDefault="00880768" w:rsidP="00880768">
      <w:pPr>
        <w:pStyle w:val="Tabellnavn"/>
      </w:pPr>
      <w:r>
        <w:t>06J1xt2</w:t>
      </w:r>
    </w:p>
    <w:tbl>
      <w:tblPr>
        <w:tblStyle w:val="StandardTabell"/>
        <w:tblW w:w="0" w:type="auto"/>
        <w:tblLayout w:type="fixed"/>
        <w:tblLook w:val="04A0" w:firstRow="1" w:lastRow="0" w:firstColumn="1" w:lastColumn="0" w:noHBand="0" w:noVBand="1"/>
      </w:tblPr>
      <w:tblGrid>
        <w:gridCol w:w="2480"/>
        <w:gridCol w:w="1400"/>
        <w:gridCol w:w="1400"/>
        <w:gridCol w:w="1400"/>
        <w:gridCol w:w="1400"/>
        <w:gridCol w:w="1400"/>
      </w:tblGrid>
      <w:tr w:rsidR="00880768" w:rsidTr="00880768">
        <w:trPr>
          <w:trHeight w:val="600"/>
        </w:trPr>
        <w:tc>
          <w:tcPr>
            <w:tcW w:w="2480" w:type="dxa"/>
          </w:tcPr>
          <w:p w:rsidR="00880768" w:rsidRDefault="00880768" w:rsidP="00880768">
            <w:r>
              <w:t>Område</w:t>
            </w:r>
          </w:p>
        </w:tc>
        <w:tc>
          <w:tcPr>
            <w:tcW w:w="1400" w:type="dxa"/>
          </w:tcPr>
          <w:p w:rsidR="00880768" w:rsidRDefault="00880768" w:rsidP="00880768">
            <w:r>
              <w:t>Disponert</w:t>
            </w:r>
          </w:p>
          <w:p w:rsidR="00880768" w:rsidRDefault="00880768" w:rsidP="00880768">
            <w:r>
              <w:t>(mill. kr)</w:t>
            </w:r>
          </w:p>
        </w:tc>
        <w:tc>
          <w:tcPr>
            <w:tcW w:w="1400" w:type="dxa"/>
          </w:tcPr>
          <w:p w:rsidR="00880768" w:rsidRDefault="00880768" w:rsidP="00880768">
            <w:r>
              <w:t>Kontrakt</w:t>
            </w:r>
            <w:r>
              <w:t>s</w:t>
            </w:r>
            <w:r>
              <w:t>festet</w:t>
            </w:r>
          </w:p>
          <w:p w:rsidR="00880768" w:rsidRDefault="00880768" w:rsidP="00880768">
            <w:r>
              <w:t>GWh/år</w:t>
            </w:r>
          </w:p>
        </w:tc>
        <w:tc>
          <w:tcPr>
            <w:tcW w:w="1400" w:type="dxa"/>
          </w:tcPr>
          <w:p w:rsidR="00880768" w:rsidRDefault="00880768" w:rsidP="00880768">
            <w:r>
              <w:t>Igangsatt</w:t>
            </w:r>
          </w:p>
          <w:p w:rsidR="00880768" w:rsidRDefault="00880768" w:rsidP="00880768">
            <w:r>
              <w:t>GWh/år</w:t>
            </w:r>
          </w:p>
        </w:tc>
        <w:tc>
          <w:tcPr>
            <w:tcW w:w="1400" w:type="dxa"/>
          </w:tcPr>
          <w:p w:rsidR="00880768" w:rsidRDefault="00880768" w:rsidP="00880768">
            <w:r>
              <w:t>Sluttra</w:t>
            </w:r>
            <w:r>
              <w:t>p</w:t>
            </w:r>
            <w:r>
              <w:t>portert GWh/år</w:t>
            </w:r>
            <w:r>
              <w:rPr>
                <w:rStyle w:val="skrift-hevet"/>
                <w:sz w:val="19"/>
                <w:szCs w:val="19"/>
              </w:rPr>
              <w:t>2</w:t>
            </w:r>
          </w:p>
        </w:tc>
        <w:tc>
          <w:tcPr>
            <w:tcW w:w="1400" w:type="dxa"/>
          </w:tcPr>
          <w:p w:rsidR="00880768" w:rsidRDefault="00880768" w:rsidP="00880768">
            <w:r>
              <w:t xml:space="preserve">Realisert </w:t>
            </w:r>
            <w:r>
              <w:rPr>
                <w:sz w:val="22"/>
              </w:rPr>
              <w:br/>
            </w:r>
            <w:r>
              <w:t>GWh/år</w:t>
            </w:r>
            <w:r>
              <w:rPr>
                <w:rStyle w:val="skrift-hevet"/>
                <w:sz w:val="19"/>
                <w:szCs w:val="19"/>
              </w:rPr>
              <w:t>3</w:t>
            </w:r>
          </w:p>
        </w:tc>
      </w:tr>
      <w:tr w:rsidR="00880768" w:rsidTr="00880768">
        <w:trPr>
          <w:trHeight w:val="380"/>
        </w:trPr>
        <w:tc>
          <w:tcPr>
            <w:tcW w:w="2480" w:type="dxa"/>
          </w:tcPr>
          <w:p w:rsidR="00880768" w:rsidRDefault="00880768" w:rsidP="00880768">
            <w:r>
              <w:t>Fornybar varme</w:t>
            </w:r>
          </w:p>
        </w:tc>
        <w:tc>
          <w:tcPr>
            <w:tcW w:w="1400" w:type="dxa"/>
          </w:tcPr>
          <w:p w:rsidR="00880768" w:rsidRDefault="00880768" w:rsidP="00880768">
            <w:r>
              <w:t xml:space="preserve"> 1 369 </w:t>
            </w:r>
          </w:p>
        </w:tc>
        <w:tc>
          <w:tcPr>
            <w:tcW w:w="1400" w:type="dxa"/>
          </w:tcPr>
          <w:p w:rsidR="00880768" w:rsidRDefault="00880768" w:rsidP="00880768">
            <w:r>
              <w:t xml:space="preserve"> 1 186 </w:t>
            </w:r>
          </w:p>
        </w:tc>
        <w:tc>
          <w:tcPr>
            <w:tcW w:w="1400" w:type="dxa"/>
          </w:tcPr>
          <w:p w:rsidR="00880768" w:rsidRDefault="00880768" w:rsidP="00880768">
            <w:r>
              <w:t xml:space="preserve"> 900 </w:t>
            </w:r>
          </w:p>
        </w:tc>
        <w:tc>
          <w:tcPr>
            <w:tcW w:w="1400" w:type="dxa"/>
          </w:tcPr>
          <w:p w:rsidR="00880768" w:rsidRDefault="00880768" w:rsidP="00880768">
            <w:r>
              <w:t xml:space="preserve"> 403 </w:t>
            </w:r>
          </w:p>
        </w:tc>
        <w:tc>
          <w:tcPr>
            <w:tcW w:w="1400" w:type="dxa"/>
          </w:tcPr>
          <w:p w:rsidR="00880768" w:rsidRDefault="00880768" w:rsidP="00880768">
            <w:r>
              <w:t xml:space="preserve"> 39 </w:t>
            </w:r>
          </w:p>
        </w:tc>
      </w:tr>
      <w:tr w:rsidR="00880768" w:rsidTr="00880768">
        <w:trPr>
          <w:trHeight w:val="380"/>
        </w:trPr>
        <w:tc>
          <w:tcPr>
            <w:tcW w:w="2480" w:type="dxa"/>
          </w:tcPr>
          <w:p w:rsidR="00880768" w:rsidRDefault="00880768" w:rsidP="00880768">
            <w:r>
              <w:t>Fornybar kraft</w:t>
            </w:r>
          </w:p>
        </w:tc>
        <w:tc>
          <w:tcPr>
            <w:tcW w:w="1400" w:type="dxa"/>
          </w:tcPr>
          <w:p w:rsidR="00880768" w:rsidRDefault="00880768" w:rsidP="00880768">
            <w:r>
              <w:t xml:space="preserve"> 51 </w:t>
            </w:r>
          </w:p>
        </w:tc>
        <w:tc>
          <w:tcPr>
            <w:tcW w:w="1400" w:type="dxa"/>
          </w:tcPr>
          <w:p w:rsidR="00880768" w:rsidRDefault="00880768" w:rsidP="00880768">
            <w:r>
              <w:t xml:space="preserve"> 18 </w:t>
            </w:r>
          </w:p>
        </w:tc>
        <w:tc>
          <w:tcPr>
            <w:tcW w:w="1400" w:type="dxa"/>
          </w:tcPr>
          <w:p w:rsidR="00880768" w:rsidRDefault="00880768" w:rsidP="00880768">
            <w:r>
              <w:t xml:space="preserve"> 9 </w:t>
            </w:r>
          </w:p>
        </w:tc>
        <w:tc>
          <w:tcPr>
            <w:tcW w:w="1400" w:type="dxa"/>
          </w:tcPr>
          <w:p w:rsidR="00880768" w:rsidRDefault="00880768" w:rsidP="00880768">
            <w:r>
              <w:t xml:space="preserve"> 7 </w:t>
            </w:r>
          </w:p>
        </w:tc>
        <w:tc>
          <w:tcPr>
            <w:tcW w:w="1400" w:type="dxa"/>
          </w:tcPr>
          <w:p w:rsidR="00880768" w:rsidRDefault="00880768" w:rsidP="00880768">
            <w:r>
              <w:t xml:space="preserve"> – </w:t>
            </w:r>
          </w:p>
        </w:tc>
      </w:tr>
      <w:tr w:rsidR="00880768" w:rsidTr="00880768">
        <w:trPr>
          <w:trHeight w:val="380"/>
        </w:trPr>
        <w:tc>
          <w:tcPr>
            <w:tcW w:w="2480" w:type="dxa"/>
          </w:tcPr>
          <w:p w:rsidR="00880768" w:rsidRDefault="00880768" w:rsidP="00880768">
            <w:r>
              <w:lastRenderedPageBreak/>
              <w:t>Industri</w:t>
            </w:r>
          </w:p>
        </w:tc>
        <w:tc>
          <w:tcPr>
            <w:tcW w:w="1400" w:type="dxa"/>
          </w:tcPr>
          <w:p w:rsidR="00880768" w:rsidRDefault="00880768" w:rsidP="00880768">
            <w:r>
              <w:t xml:space="preserve"> 4 666 </w:t>
            </w:r>
          </w:p>
        </w:tc>
        <w:tc>
          <w:tcPr>
            <w:tcW w:w="1400" w:type="dxa"/>
          </w:tcPr>
          <w:p w:rsidR="00880768" w:rsidRDefault="00880768" w:rsidP="00880768">
            <w:r>
              <w:t xml:space="preserve"> 5 279 </w:t>
            </w:r>
          </w:p>
        </w:tc>
        <w:tc>
          <w:tcPr>
            <w:tcW w:w="1400" w:type="dxa"/>
          </w:tcPr>
          <w:p w:rsidR="00880768" w:rsidRDefault="00880768" w:rsidP="00880768">
            <w:r>
              <w:t xml:space="preserve"> 760 </w:t>
            </w:r>
          </w:p>
        </w:tc>
        <w:tc>
          <w:tcPr>
            <w:tcW w:w="1400" w:type="dxa"/>
          </w:tcPr>
          <w:p w:rsidR="00880768" w:rsidRDefault="00880768" w:rsidP="00880768">
            <w:r>
              <w:t xml:space="preserve"> 3 496 </w:t>
            </w:r>
          </w:p>
        </w:tc>
        <w:tc>
          <w:tcPr>
            <w:tcW w:w="1400" w:type="dxa"/>
          </w:tcPr>
          <w:p w:rsidR="00880768" w:rsidRDefault="00880768" w:rsidP="00880768">
            <w:r>
              <w:t xml:space="preserve"> 29 </w:t>
            </w:r>
          </w:p>
        </w:tc>
      </w:tr>
      <w:tr w:rsidR="00880768" w:rsidTr="00880768">
        <w:trPr>
          <w:trHeight w:val="380"/>
        </w:trPr>
        <w:tc>
          <w:tcPr>
            <w:tcW w:w="2480" w:type="dxa"/>
          </w:tcPr>
          <w:p w:rsidR="00880768" w:rsidRDefault="00880768" w:rsidP="00880768">
            <w:r>
              <w:t>Transport</w:t>
            </w:r>
          </w:p>
        </w:tc>
        <w:tc>
          <w:tcPr>
            <w:tcW w:w="1400" w:type="dxa"/>
          </w:tcPr>
          <w:p w:rsidR="00880768" w:rsidRDefault="00880768" w:rsidP="00880768">
            <w:r>
              <w:t xml:space="preserve"> 1 059 </w:t>
            </w:r>
          </w:p>
        </w:tc>
        <w:tc>
          <w:tcPr>
            <w:tcW w:w="1400" w:type="dxa"/>
          </w:tcPr>
          <w:p w:rsidR="00880768" w:rsidRDefault="00880768" w:rsidP="00880768">
            <w:r>
              <w:t xml:space="preserve"> 841 </w:t>
            </w:r>
          </w:p>
        </w:tc>
        <w:tc>
          <w:tcPr>
            <w:tcW w:w="1400" w:type="dxa"/>
          </w:tcPr>
          <w:p w:rsidR="00880768" w:rsidRDefault="00880768" w:rsidP="00880768">
            <w:r>
              <w:t xml:space="preserve"> 305 </w:t>
            </w:r>
          </w:p>
        </w:tc>
        <w:tc>
          <w:tcPr>
            <w:tcW w:w="1400" w:type="dxa"/>
          </w:tcPr>
          <w:p w:rsidR="00880768" w:rsidRDefault="00880768" w:rsidP="00880768">
            <w:r>
              <w:t xml:space="preserve"> 224 </w:t>
            </w:r>
          </w:p>
        </w:tc>
        <w:tc>
          <w:tcPr>
            <w:tcW w:w="1400" w:type="dxa"/>
          </w:tcPr>
          <w:p w:rsidR="00880768" w:rsidRDefault="00880768" w:rsidP="00880768">
            <w:r>
              <w:t xml:space="preserve"> – </w:t>
            </w:r>
          </w:p>
        </w:tc>
      </w:tr>
      <w:tr w:rsidR="00880768" w:rsidTr="00880768">
        <w:trPr>
          <w:trHeight w:val="380"/>
        </w:trPr>
        <w:tc>
          <w:tcPr>
            <w:tcW w:w="2480" w:type="dxa"/>
          </w:tcPr>
          <w:p w:rsidR="00880768" w:rsidRDefault="00880768" w:rsidP="00880768">
            <w:r>
              <w:t>Anlegg</w:t>
            </w:r>
          </w:p>
        </w:tc>
        <w:tc>
          <w:tcPr>
            <w:tcW w:w="1400" w:type="dxa"/>
          </w:tcPr>
          <w:p w:rsidR="00880768" w:rsidRDefault="00880768" w:rsidP="00880768">
            <w:r>
              <w:t xml:space="preserve"> 178 </w:t>
            </w:r>
          </w:p>
        </w:tc>
        <w:tc>
          <w:tcPr>
            <w:tcW w:w="1400" w:type="dxa"/>
          </w:tcPr>
          <w:p w:rsidR="00880768" w:rsidRDefault="00880768" w:rsidP="00880768">
            <w:r>
              <w:t xml:space="preserve"> 149 </w:t>
            </w:r>
          </w:p>
        </w:tc>
        <w:tc>
          <w:tcPr>
            <w:tcW w:w="1400" w:type="dxa"/>
          </w:tcPr>
          <w:p w:rsidR="00880768" w:rsidRDefault="00880768" w:rsidP="00880768">
            <w:r>
              <w:t xml:space="preserve"> 107 </w:t>
            </w:r>
          </w:p>
        </w:tc>
        <w:tc>
          <w:tcPr>
            <w:tcW w:w="1400" w:type="dxa"/>
          </w:tcPr>
          <w:p w:rsidR="00880768" w:rsidRDefault="00880768" w:rsidP="00880768">
            <w:r>
              <w:t xml:space="preserve"> 51 </w:t>
            </w:r>
          </w:p>
        </w:tc>
        <w:tc>
          <w:tcPr>
            <w:tcW w:w="1400" w:type="dxa"/>
          </w:tcPr>
          <w:p w:rsidR="00880768" w:rsidRDefault="00880768" w:rsidP="00880768">
            <w:r>
              <w:t xml:space="preserve"> – </w:t>
            </w:r>
          </w:p>
        </w:tc>
      </w:tr>
      <w:tr w:rsidR="00880768" w:rsidTr="00880768">
        <w:trPr>
          <w:trHeight w:val="380"/>
        </w:trPr>
        <w:tc>
          <w:tcPr>
            <w:tcW w:w="2480" w:type="dxa"/>
          </w:tcPr>
          <w:p w:rsidR="00880768" w:rsidRDefault="00880768" w:rsidP="00880768">
            <w:r>
              <w:t>Yrkesbygg</w:t>
            </w:r>
          </w:p>
        </w:tc>
        <w:tc>
          <w:tcPr>
            <w:tcW w:w="1400" w:type="dxa"/>
          </w:tcPr>
          <w:p w:rsidR="00880768" w:rsidRDefault="00880768" w:rsidP="00880768">
            <w:r>
              <w:t xml:space="preserve"> 2 433 </w:t>
            </w:r>
          </w:p>
        </w:tc>
        <w:tc>
          <w:tcPr>
            <w:tcW w:w="1400" w:type="dxa"/>
          </w:tcPr>
          <w:p w:rsidR="00880768" w:rsidRDefault="00880768" w:rsidP="00880768">
            <w:r>
              <w:t xml:space="preserve"> 1 856 </w:t>
            </w:r>
          </w:p>
        </w:tc>
        <w:tc>
          <w:tcPr>
            <w:tcW w:w="1400" w:type="dxa"/>
          </w:tcPr>
          <w:p w:rsidR="00880768" w:rsidRDefault="00880768" w:rsidP="00880768">
            <w:r>
              <w:t xml:space="preserve"> 1 001 </w:t>
            </w:r>
          </w:p>
        </w:tc>
        <w:tc>
          <w:tcPr>
            <w:tcW w:w="1400" w:type="dxa"/>
          </w:tcPr>
          <w:p w:rsidR="00880768" w:rsidRDefault="00880768" w:rsidP="00880768">
            <w:r>
              <w:t xml:space="preserve"> 631 </w:t>
            </w:r>
          </w:p>
        </w:tc>
        <w:tc>
          <w:tcPr>
            <w:tcW w:w="1400" w:type="dxa"/>
          </w:tcPr>
          <w:p w:rsidR="00880768" w:rsidRDefault="00880768" w:rsidP="00880768">
            <w:r>
              <w:t xml:space="preserve"> 33 </w:t>
            </w:r>
          </w:p>
        </w:tc>
      </w:tr>
      <w:tr w:rsidR="00880768" w:rsidTr="00880768">
        <w:trPr>
          <w:trHeight w:val="380"/>
        </w:trPr>
        <w:tc>
          <w:tcPr>
            <w:tcW w:w="2480" w:type="dxa"/>
          </w:tcPr>
          <w:p w:rsidR="00880768" w:rsidRDefault="00880768" w:rsidP="00880768">
            <w:r>
              <w:t>Bolig</w:t>
            </w:r>
          </w:p>
        </w:tc>
        <w:tc>
          <w:tcPr>
            <w:tcW w:w="1400" w:type="dxa"/>
          </w:tcPr>
          <w:p w:rsidR="00880768" w:rsidRDefault="00880768" w:rsidP="00880768">
            <w:r>
              <w:t xml:space="preserve"> 504 </w:t>
            </w:r>
          </w:p>
        </w:tc>
        <w:tc>
          <w:tcPr>
            <w:tcW w:w="1400" w:type="dxa"/>
          </w:tcPr>
          <w:p w:rsidR="00880768" w:rsidRDefault="00880768" w:rsidP="00880768">
            <w:r>
              <w:t xml:space="preserve"> 207 </w:t>
            </w:r>
          </w:p>
        </w:tc>
        <w:tc>
          <w:tcPr>
            <w:tcW w:w="1400" w:type="dxa"/>
          </w:tcPr>
          <w:p w:rsidR="00880768" w:rsidRDefault="00880768" w:rsidP="00880768">
            <w:r>
              <w:t xml:space="preserve"> 187 </w:t>
            </w:r>
          </w:p>
        </w:tc>
        <w:tc>
          <w:tcPr>
            <w:tcW w:w="1400" w:type="dxa"/>
          </w:tcPr>
          <w:p w:rsidR="00880768" w:rsidRDefault="00880768" w:rsidP="00880768">
            <w:r>
              <w:t xml:space="preserve"> 63 </w:t>
            </w:r>
          </w:p>
        </w:tc>
        <w:tc>
          <w:tcPr>
            <w:tcW w:w="1400" w:type="dxa"/>
          </w:tcPr>
          <w:p w:rsidR="00880768" w:rsidRDefault="00880768" w:rsidP="00880768">
            <w:r>
              <w:t xml:space="preserve"> 2 </w:t>
            </w:r>
          </w:p>
        </w:tc>
      </w:tr>
      <w:tr w:rsidR="00880768" w:rsidTr="00880768">
        <w:trPr>
          <w:trHeight w:val="380"/>
        </w:trPr>
        <w:tc>
          <w:tcPr>
            <w:tcW w:w="2480" w:type="dxa"/>
          </w:tcPr>
          <w:p w:rsidR="00880768" w:rsidRDefault="00880768" w:rsidP="00880768">
            <w:r>
              <w:t>Sum</w:t>
            </w:r>
          </w:p>
        </w:tc>
        <w:tc>
          <w:tcPr>
            <w:tcW w:w="1400" w:type="dxa"/>
          </w:tcPr>
          <w:p w:rsidR="00880768" w:rsidRDefault="00880768" w:rsidP="00880768">
            <w:r>
              <w:t>10 260</w:t>
            </w:r>
          </w:p>
        </w:tc>
        <w:tc>
          <w:tcPr>
            <w:tcW w:w="1400" w:type="dxa"/>
          </w:tcPr>
          <w:p w:rsidR="00880768" w:rsidRDefault="00880768" w:rsidP="00880768">
            <w:r>
              <w:t>9 536</w:t>
            </w:r>
          </w:p>
        </w:tc>
        <w:tc>
          <w:tcPr>
            <w:tcW w:w="1400" w:type="dxa"/>
          </w:tcPr>
          <w:p w:rsidR="00880768" w:rsidRDefault="00880768" w:rsidP="00880768">
            <w:r>
              <w:t xml:space="preserve"> 3 269 </w:t>
            </w:r>
          </w:p>
        </w:tc>
        <w:tc>
          <w:tcPr>
            <w:tcW w:w="1400" w:type="dxa"/>
          </w:tcPr>
          <w:p w:rsidR="00880768" w:rsidRDefault="00880768" w:rsidP="00880768">
            <w:r>
              <w:t xml:space="preserve"> 4 875 </w:t>
            </w:r>
          </w:p>
        </w:tc>
        <w:tc>
          <w:tcPr>
            <w:tcW w:w="1400" w:type="dxa"/>
          </w:tcPr>
          <w:p w:rsidR="00880768" w:rsidRDefault="00880768" w:rsidP="00880768">
            <w:r>
              <w:t xml:space="preserve"> 103 </w:t>
            </w:r>
          </w:p>
        </w:tc>
      </w:tr>
      <w:tr w:rsidR="00880768" w:rsidTr="00880768">
        <w:trPr>
          <w:trHeight w:val="380"/>
        </w:trPr>
        <w:tc>
          <w:tcPr>
            <w:tcW w:w="2480" w:type="dxa"/>
          </w:tcPr>
          <w:p w:rsidR="00880768" w:rsidRDefault="00880768" w:rsidP="00880768">
            <w:r>
              <w:t>Herav ny teknologi</w:t>
            </w:r>
          </w:p>
        </w:tc>
        <w:tc>
          <w:tcPr>
            <w:tcW w:w="1400" w:type="dxa"/>
          </w:tcPr>
          <w:p w:rsidR="00880768" w:rsidRDefault="00880768" w:rsidP="00880768">
            <w:r>
              <w:t>3 743</w:t>
            </w:r>
          </w:p>
        </w:tc>
        <w:tc>
          <w:tcPr>
            <w:tcW w:w="1400" w:type="dxa"/>
          </w:tcPr>
          <w:p w:rsidR="00880768" w:rsidRDefault="00880768" w:rsidP="00880768">
            <w:r>
              <w:t>789</w:t>
            </w:r>
          </w:p>
        </w:tc>
        <w:tc>
          <w:tcPr>
            <w:tcW w:w="1400" w:type="dxa"/>
          </w:tcPr>
          <w:p w:rsidR="00880768" w:rsidRDefault="00880768" w:rsidP="00880768">
            <w:r>
              <w:t>390</w:t>
            </w:r>
          </w:p>
        </w:tc>
        <w:tc>
          <w:tcPr>
            <w:tcW w:w="1400" w:type="dxa"/>
          </w:tcPr>
          <w:p w:rsidR="00880768" w:rsidRDefault="00880768" w:rsidP="00880768">
            <w:r>
              <w:t>108</w:t>
            </w:r>
          </w:p>
        </w:tc>
        <w:tc>
          <w:tcPr>
            <w:tcW w:w="1400" w:type="dxa"/>
          </w:tcPr>
          <w:p w:rsidR="00880768" w:rsidRDefault="00880768" w:rsidP="00880768">
            <w:r>
              <w:t>0</w:t>
            </w:r>
          </w:p>
        </w:tc>
      </w:tr>
    </w:tbl>
    <w:p w:rsidR="00880768" w:rsidRDefault="00880768" w:rsidP="008E6C94">
      <w:pPr>
        <w:pStyle w:val="tabell-noter"/>
        <w:rPr>
          <w:rStyle w:val="skrift-hevet"/>
          <w:sz w:val="24"/>
          <w:szCs w:val="24"/>
        </w:rPr>
      </w:pPr>
      <w:r>
        <w:rPr>
          <w:rStyle w:val="skrift-hevet"/>
          <w:sz w:val="17"/>
          <w:szCs w:val="17"/>
        </w:rPr>
        <w:t>1</w:t>
      </w:r>
      <w:r>
        <w:tab/>
        <w:t>Alle tallene er korrigert for kansellerte prosjekter.</w:t>
      </w:r>
    </w:p>
    <w:p w:rsidR="00880768" w:rsidRDefault="00880768" w:rsidP="00880768">
      <w:pPr>
        <w:pStyle w:val="tabell-noter"/>
        <w:rPr>
          <w:rStyle w:val="skrift-hevet"/>
          <w:sz w:val="24"/>
          <w:szCs w:val="24"/>
        </w:rPr>
      </w:pPr>
      <w:r>
        <w:rPr>
          <w:rStyle w:val="skrift-hevet"/>
          <w:sz w:val="17"/>
          <w:szCs w:val="17"/>
        </w:rPr>
        <w:t>2</w:t>
      </w:r>
      <w:r>
        <w:tab/>
        <w:t>Når et prosjekt er sluttrapportert innebærer det at anlegget er ferdig bygget, men ikke hentet ut realisert resultat per utgangen av 2017.</w:t>
      </w:r>
    </w:p>
    <w:p w:rsidR="00880768" w:rsidRDefault="00880768" w:rsidP="00880768">
      <w:pPr>
        <w:pStyle w:val="tabell-noter"/>
        <w:rPr>
          <w:rFonts w:ascii="UniMyriad Bold" w:hAnsi="UniMyriad Bold" w:cs="UniMyriad Bold"/>
          <w:sz w:val="30"/>
          <w:szCs w:val="30"/>
        </w:rPr>
      </w:pPr>
      <w:r>
        <w:rPr>
          <w:rStyle w:val="skrift-hevet"/>
          <w:sz w:val="17"/>
          <w:szCs w:val="17"/>
        </w:rPr>
        <w:t>3</w:t>
      </w:r>
      <w:r>
        <w:tab/>
        <w:t>Sluttrapporterte prosjekter følges opp med måling og verifisering av resultatene tre år etter at sluttrapporten er l</w:t>
      </w:r>
      <w:r>
        <w:t>e</w:t>
      </w:r>
      <w:r>
        <w:t>vert.</w:t>
      </w:r>
    </w:p>
    <w:p w:rsidR="00880768" w:rsidRDefault="00880768" w:rsidP="00880768">
      <w:pPr>
        <w:pStyle w:val="b-progkat"/>
      </w:pPr>
      <w:r>
        <w:t>Programkategori 18.30 Forskning og næringsutvikling</w:t>
      </w:r>
    </w:p>
    <w:p w:rsidR="00880768" w:rsidRDefault="00880768" w:rsidP="00880768">
      <w:pPr>
        <w:pStyle w:val="Undertittel"/>
      </w:pPr>
      <w:r>
        <w:t>Utviklingstrekk</w:t>
      </w:r>
    </w:p>
    <w:p w:rsidR="00880768" w:rsidRDefault="00880768" w:rsidP="00880768">
      <w:r>
        <w:t>Støtte til forskning og næringsutvikling er viktig for økt verdiskaping, effektiv og miljøvennlig ressursforvaltning og for å utvikle gode lavutslippsløsninger innenfor energi- og petroleumssekt</w:t>
      </w:r>
      <w:r>
        <w:t>o</w:t>
      </w:r>
      <w:r>
        <w:t>ren. Norge har sterke forskningsmiljøer og en betydelig industriell virksomhet som bygger på b</w:t>
      </w:r>
      <w:r>
        <w:t>æ</w:t>
      </w:r>
      <w:r>
        <w:t>rekraftig utnyttelse av våre energi- og petroleumsressurser. Offentlig støtte til forskning, teknologi og næringsutvikling skal bidra til utvikling av ny næringsvirksomhet, nye lavutslippsteknologier og at forskningsmiljøene og industrien videreutvikler sin kompetanse og internasjonale konkurrans</w:t>
      </w:r>
      <w:r>
        <w:t>e</w:t>
      </w:r>
      <w:r>
        <w:t>evne.</w:t>
      </w:r>
    </w:p>
    <w:p w:rsidR="00880768" w:rsidRDefault="00880768" w:rsidP="00880768">
      <w:pPr>
        <w:pStyle w:val="avsnitt-tittel"/>
      </w:pPr>
      <w:r>
        <w:t>Forskning og teknologiutvikling</w:t>
      </w:r>
    </w:p>
    <w:p w:rsidR="00880768" w:rsidRDefault="00880768" w:rsidP="00880768">
      <w:r>
        <w:t>Ressursene på norsk kontinentalsokkel representerer langsiktige muligheter for verdiskaping. St</w:t>
      </w:r>
      <w:r>
        <w:t>a</w:t>
      </w:r>
      <w:r>
        <w:t>ten har, som ressurseier og desidert største aktør på norsk sokkel, en særlig interesse av kompeta</w:t>
      </w:r>
      <w:r>
        <w:t>n</w:t>
      </w:r>
      <w:r>
        <w:t>sebygging og teknologiutvikling i petroleumssektoren.</w:t>
      </w:r>
    </w:p>
    <w:p w:rsidR="00880768" w:rsidRDefault="00880768" w:rsidP="00880768">
      <w:r>
        <w:t>Fallende oljeproduksjon i modne felt representerer en hovedutfordring som krever bedre teknol</w:t>
      </w:r>
      <w:r>
        <w:t>o</w:t>
      </w:r>
      <w:r>
        <w:t>giske løsninger og produktivitetsøkning innen både leting, utbygging og produksjon for å oppret</w:t>
      </w:r>
      <w:r>
        <w:t>t</w:t>
      </w:r>
      <w:r>
        <w:t>holde verdiskapingen fra virksomheten. Selv om markedet for olje og gass har bedret seg betrakt</w:t>
      </w:r>
      <w:r>
        <w:t>e</w:t>
      </w:r>
      <w:r>
        <w:t>lig og norsk petroleumsindustri har bedret sin konkurranseevne, er det fortsatt viktig å satse på forskning og teknologiutvikling for å utvikle løsninger som kan gjøre fremtidig leting, utbygging og drift mer kostnadseffektiv og lønnsom. Dette er avgjørende for at norsk sokkel skal forbli ko</w:t>
      </w:r>
      <w:r>
        <w:t>n</w:t>
      </w:r>
      <w:r>
        <w:t>kurransedyktig og sikre høyest mulig verdiskaping for fellesskapet.</w:t>
      </w:r>
    </w:p>
    <w:p w:rsidR="00880768" w:rsidRDefault="00880768" w:rsidP="00880768">
      <w:r>
        <w:t>I de modne områdene på norsk sokkel er det nødvendig med en betydelig innsats for å øke utvi</w:t>
      </w:r>
      <w:r>
        <w:t>n</w:t>
      </w:r>
      <w:r>
        <w:t>ningen fra eksisterende felt. Med dagens planer, vil om lag halvparten av oljen bli liggende igjen. Fortsatt satsing på forskning og utvikling av ny teknologi er viktig for å øke verdiskapingen fra modne felt og områder. Rapport fra utvinningsutvalget fra 2010 peker på at en økning i utvi</w:t>
      </w:r>
      <w:r>
        <w:t>n</w:t>
      </w:r>
      <w:r>
        <w:t>ningsgraden med ett prosentpoeng har et bruttverdipotensial på om lag 270 mrd. kroner.</w:t>
      </w:r>
      <w:r>
        <w:rPr>
          <w:rStyle w:val="skrift-hevet"/>
          <w:sz w:val="21"/>
          <w:szCs w:val="21"/>
        </w:rPr>
        <w:footnoteReference w:id="4"/>
      </w:r>
    </w:p>
    <w:p w:rsidR="00880768" w:rsidRDefault="00880768" w:rsidP="00880768">
      <w:r>
        <w:t xml:space="preserve">Det er også nødvendig å utvikle lavutslippsteknologier som bidrar til mindre klimagassutslipp fra olje- og gassvirksomheten og som legger til rette for fortsatt olje- og gassproduksjon i et fremtidig </w:t>
      </w:r>
      <w:r>
        <w:lastRenderedPageBreak/>
        <w:t>lavutslippssamfunn. Departementet vil derfor styrke satsingen på å løse klimarelaterte utfordringer i petroleumsvirksomheten. Opprettelsen av et senter for lavutslippsteknologier er en viktig del av denne satsingen. Erfaringer fra gjennomførte prosjekter viser at FoU innenfor petroleumsteknologi på generell basis bidrar til mer miljøvennlige løsninger, også der det primære formålet ikke er mi</w:t>
      </w:r>
      <w:r>
        <w:t>l</w:t>
      </w:r>
      <w:r>
        <w:t>jøhensyn.</w:t>
      </w:r>
    </w:p>
    <w:p w:rsidR="00880768" w:rsidRDefault="00880768" w:rsidP="00880768">
      <w:r>
        <w:t>Den nasjonale FoU-strategien for olje- og gassektoren, OG21 (Olje og gass i det 21. århundre), er med på å sikre en effektiv og målrettet forskningsinnsats, både innenfor offentlig og privat fina</w:t>
      </w:r>
      <w:r>
        <w:t>n</w:t>
      </w:r>
      <w:r>
        <w:t>siert forskning. OG21 retter oppmerksomheten mot hovedutfordringene knyttet til en langsiktig og bærekraftig verdiskaping i næringen.</w:t>
      </w:r>
    </w:p>
    <w:p w:rsidR="00880768" w:rsidRDefault="00880768" w:rsidP="00880768">
      <w:r>
        <w:t>Fire teknologiområder er trukket frem i strategien:</w:t>
      </w:r>
    </w:p>
    <w:p w:rsidR="00880768" w:rsidRDefault="00880768" w:rsidP="00880768">
      <w:pPr>
        <w:pStyle w:val="Liste"/>
      </w:pPr>
      <w:r>
        <w:t>Energieffektivitet og miljø</w:t>
      </w:r>
    </w:p>
    <w:p w:rsidR="00880768" w:rsidRDefault="00880768" w:rsidP="00880768">
      <w:pPr>
        <w:pStyle w:val="Liste"/>
      </w:pPr>
      <w:r>
        <w:t>Leting og økt utvinning</w:t>
      </w:r>
    </w:p>
    <w:p w:rsidR="00880768" w:rsidRDefault="00880768" w:rsidP="00880768">
      <w:pPr>
        <w:pStyle w:val="Liste"/>
      </w:pPr>
      <w:r>
        <w:t>Boring, komplettering og intervensjon</w:t>
      </w:r>
    </w:p>
    <w:p w:rsidR="00880768" w:rsidRDefault="00880768" w:rsidP="00880768">
      <w:pPr>
        <w:pStyle w:val="Liste"/>
      </w:pPr>
      <w:r>
        <w:t>Produksjon, prosessering og transport</w:t>
      </w:r>
    </w:p>
    <w:p w:rsidR="00880768" w:rsidRDefault="00880768" w:rsidP="00880768">
      <w:r>
        <w:t>OG21 er også opptatt av at nye løsninger skal kunne tas i bruk så raskt som mulig og at de bidrar til reduserte kostnader, reduserte utslipp og økt lønnsomhet. Tverrgående temaer, som for eksempel digitalisering og mer innovative arbeidsprosesser ved bruk av ny teknologi, vektlegges i stadig større grad.</w:t>
      </w:r>
    </w:p>
    <w:p w:rsidR="00880768" w:rsidRDefault="00880768" w:rsidP="00880768">
      <w:r>
        <w:t>Innenfor energisektoren er FoU viktig for å utnytte norske energiressurser effektivt og miljøvennlig og utvikle nødvendig teknologi og kompetanse for langsiktig verdiskaping og næringsutvikling. Den offentlige innsatsen er rettet mot mer effektiv energiproduksjon, energioverføring og energ</w:t>
      </w:r>
      <w:r>
        <w:t>i</w:t>
      </w:r>
      <w:r>
        <w:t>bruk, økt energitilgang basert på miljøvennlig energi, bedre sikkerhet og fleksibilitet. Offentlig støtte skal også bidra til utvikling av et internasjonalt konkurransedyktig forskningsmiljø og n</w:t>
      </w:r>
      <w:r>
        <w:t>æ</w:t>
      </w:r>
      <w:r>
        <w:t>ringsliv. Satsingen på FoU er sentral for regjeringens mål om at Norge skal være en foregangsn</w:t>
      </w:r>
      <w:r>
        <w:t>a</w:t>
      </w:r>
      <w:r>
        <w:t>sjon innen miljøvennlig energibruk og energiproduksjon.</w:t>
      </w:r>
    </w:p>
    <w:p w:rsidR="00880768" w:rsidRDefault="00880768" w:rsidP="00880768">
      <w:r>
        <w:t>Energi21 er den nasjonale strategien for forskning, utvikling og kommersialisering av ny, klim</w:t>
      </w:r>
      <w:r>
        <w:t>a</w:t>
      </w:r>
      <w:r>
        <w:t>vennlig energiteknologi. Strategien skal bidra til en samordnet, effektiv og målrettet forsknings- og teknologiinnsats, der økt engasjement i energinæringen står sentralt. Energi21 gir myndighetene og industrien råd om innretning av satsingen på forskning og utvikling av teknologier for fornybar energi, energieffektivisering, CO</w:t>
      </w:r>
      <w:r>
        <w:rPr>
          <w:rStyle w:val="skrift-senket"/>
          <w:sz w:val="21"/>
          <w:szCs w:val="21"/>
        </w:rPr>
        <w:t>2</w:t>
      </w:r>
      <w:r>
        <w:t>-håndtering og energi til transportformål.</w:t>
      </w:r>
    </w:p>
    <w:p w:rsidR="00880768" w:rsidRDefault="00880768" w:rsidP="00880768">
      <w:r>
        <w:t>Styret for Energi21 la 15. juni 2018 frem en revidert strategi. Den nye Energi21-strategien anbef</w:t>
      </w:r>
      <w:r>
        <w:t>a</w:t>
      </w:r>
      <w:r>
        <w:t>ler å prioritere satsingen på energiteknologi på seks områder:</w:t>
      </w:r>
    </w:p>
    <w:p w:rsidR="00880768" w:rsidRDefault="00880768" w:rsidP="00880768">
      <w:pPr>
        <w:pStyle w:val="Liste"/>
      </w:pPr>
      <w:r>
        <w:t>Digitaliserte og integrerte energisystemer</w:t>
      </w:r>
    </w:p>
    <w:p w:rsidR="00880768" w:rsidRDefault="00880768" w:rsidP="00880768">
      <w:pPr>
        <w:pStyle w:val="Liste"/>
      </w:pPr>
      <w:r>
        <w:t>Klimavennlige energiteknologier til maritim transport</w:t>
      </w:r>
    </w:p>
    <w:p w:rsidR="00880768" w:rsidRDefault="00880768" w:rsidP="00880768">
      <w:pPr>
        <w:pStyle w:val="Liste"/>
      </w:pPr>
      <w:r>
        <w:t>Solkraft for et internasjonalt marked</w:t>
      </w:r>
    </w:p>
    <w:p w:rsidR="00880768" w:rsidRDefault="00880768" w:rsidP="00880768">
      <w:pPr>
        <w:pStyle w:val="Liste"/>
      </w:pPr>
      <w:r>
        <w:t>Vannkraft som ryggraden i norsk energiforsyning</w:t>
      </w:r>
    </w:p>
    <w:p w:rsidR="00880768" w:rsidRDefault="00880768" w:rsidP="00880768">
      <w:pPr>
        <w:pStyle w:val="Liste"/>
      </w:pPr>
      <w:r>
        <w:t>Havvind for et internasjonalt marked</w:t>
      </w:r>
    </w:p>
    <w:p w:rsidR="00880768" w:rsidRDefault="00880768" w:rsidP="00880768">
      <w:pPr>
        <w:pStyle w:val="Liste"/>
      </w:pPr>
      <w:r>
        <w:t>Klimavennlig og energieffektiv industri inklusive CO</w:t>
      </w:r>
      <w:r>
        <w:rPr>
          <w:rStyle w:val="skrift-senket"/>
          <w:sz w:val="21"/>
          <w:szCs w:val="21"/>
        </w:rPr>
        <w:t>2</w:t>
      </w:r>
      <w:r>
        <w:t>-håndtering</w:t>
      </w:r>
    </w:p>
    <w:p w:rsidR="00880768" w:rsidRDefault="00880768" w:rsidP="00880768">
      <w:r>
        <w:t>Satsingsområdet «Digitaliserte og integrerte energisystemer» ligger som en overordnet prioritering med bakgrunn i stor betydning for fremtidig forsyningssikkerhet, integrasjon av klimavennlige energiteknologier og samfunnets verdiskaping. Samtlige satsingsområder som prioriteres har stort potensiale for verdiskaping innen ressursutnyttelse og videreutvikling av en leverandørindustri mot nasjonale og internasjonale energimarkeder.</w:t>
      </w:r>
    </w:p>
    <w:p w:rsidR="00880768" w:rsidRDefault="00880768" w:rsidP="00880768">
      <w:r>
        <w:t>I tillegg trekker Energi21 frem behovet for å videreutvikle en solid kunnskaps- og teknologiplat</w:t>
      </w:r>
      <w:r>
        <w:t>t</w:t>
      </w:r>
      <w:r>
        <w:t>form for hele bredden av fagområder innenfor energi. Følgende områder fremheves: Energieffekt</w:t>
      </w:r>
      <w:r>
        <w:t>i</w:t>
      </w:r>
      <w:r>
        <w:t>ve og smarte bygninger, hydrogen, dyp geotermisk energi, bioenergi, klimavennlige energiteknol</w:t>
      </w:r>
      <w:r>
        <w:t>o</w:t>
      </w:r>
      <w:r>
        <w:lastRenderedPageBreak/>
        <w:t>gier til landbasert transport og til lufttransport, landbasert vindkraft, humaniora, juridiske og sa</w:t>
      </w:r>
      <w:r>
        <w:t>m</w:t>
      </w:r>
      <w:r>
        <w:t>funnsvitenskapelige fag.</w:t>
      </w:r>
    </w:p>
    <w:p w:rsidR="00880768" w:rsidRDefault="00880768" w:rsidP="00880768">
      <w:r>
        <w:t xml:space="preserve">Videre anbefales det å styrke arbeidet med å påvirke EUs forskningsprogrammer, slik at EUs forskningsagenda inkluderer temaer av felles interesse for EU og Norge. Norsk deltakelse på EUs forsknings- og innovasjonsarena har stor betydning for å vinne posisjoner, øke kvaliteten på norske forskningsmiljøer, bidra med internasjonal anerkjent kunnskap til næringslivet, samt bidra til at norsk forskning blir tatt i bruk i et europeisk og internasjonalt perspektiv. Energi21 trekker også frem Mission Innovation som en viktig internasjonal samarbeidsarena for utvikling og innovasjon av rene energiteknologier. </w:t>
      </w:r>
    </w:p>
    <w:p w:rsidR="00880768" w:rsidRDefault="00880768" w:rsidP="00880768">
      <w:r>
        <w:t>Mission Innovation er et globalt initiativ fra klimaforhandlingene i Paris i 2015 (COP21) med mål om å påskynde teknologiutviklingen for ren energi. Norge deltar sammen med 22 andre land pluss EU-kommisjonen. En viktig del av Mission Innovation er at alle deltakerlandene skal søke å doble sine investeringer i utvikling av ny miljø- og klimavennlig energiteknologi i løpet av en fem-års periode. Videre jobbes det for økt internasjonalt samarbeid om de store energiutfordringene samt legge til rette for økte private investeringer i sektoren. Tre år ut i perioden, er Norge i rute for å klare ambisjonen om dobling. Samtidig er det fortsatt mye som gjenstår for å nå dette målet.</w:t>
      </w:r>
    </w:p>
    <w:p w:rsidR="00880768" w:rsidRDefault="00880768" w:rsidP="00880768">
      <w:pPr>
        <w:pStyle w:val="avsnitt-tittel"/>
      </w:pPr>
      <w:r>
        <w:t>Næringsutvikling og internasjonalisering</w:t>
      </w:r>
    </w:p>
    <w:p w:rsidR="00880768" w:rsidRDefault="00880768" w:rsidP="00880768">
      <w:r>
        <w:rPr>
          <w:spacing w:val="-1"/>
        </w:rPr>
        <w:t>Industrien som leverer varer og tjenester til virksomheten på norsk sokkel og til andre petroleum</w:t>
      </w:r>
      <w:r>
        <w:rPr>
          <w:spacing w:val="-1"/>
        </w:rPr>
        <w:t>s</w:t>
      </w:r>
      <w:r>
        <w:t>provinser er Norges nest største næring målt i omsetning, etter produksjon og salg av olje og gass. Totalomsetningen for norske oljeserviceselskaper utgjorde 378 mrd. kroner i 2016. Den intern</w:t>
      </w:r>
      <w:r>
        <w:t>a</w:t>
      </w:r>
      <w:r>
        <w:t>sjonale omsetningen utgjorde 132 mrd. kroner, om lag 35 prosent av totalomsetningen (Rystad Energy, 2017). I 2017 var 86 000 personer direkte sysselsatt i leverandørindustrien, mens petrol</w:t>
      </w:r>
      <w:r>
        <w:t>e</w:t>
      </w:r>
      <w:r>
        <w:t>umsnæringen totalt sysselsatte om lag 111 300 fast ansatte (SNF, 2018). Videre anslår SSB (2018) at antall direkte og indirekte sysselsatte i petroleumsnæringen til sammen utgjør 170 200 personer. Den petroleumsrettede leverandørindustrien er lokalisert i alle landets fylker, og er således også en viktig distriktsnæring.</w:t>
      </w:r>
    </w:p>
    <w:p w:rsidR="00880768" w:rsidRDefault="00880768" w:rsidP="00880768">
      <w:r>
        <w:t xml:space="preserve">Norske selskaper er blant annet verdensledende innen seismikk, undervannsproduksjonssystemer, boreutstyr og servicefartøy. Grunnlaget for denne utviklingen er lagt gjennom en langsiktig FoU-innsats i industrien, i samarbeid med forskningsinstituttene og akademia. Denne innsatsen har gjort det mulig å løse teknologiske utfordringer for å utvikle ressursene på norsk sokkel. </w:t>
      </w:r>
    </w:p>
    <w:p w:rsidR="00880768" w:rsidRDefault="00880768" w:rsidP="00880768">
      <w:r>
        <w:t>Petroleumssektoren er syklisk av natur, og alltid i endring. Næringen har de siste årene vært gje</w:t>
      </w:r>
      <w:r>
        <w:t>n</w:t>
      </w:r>
      <w:r>
        <w:t>nom en nødvendig omstillingsprosess. Det er fortsatt overkapasitet innenfor deler av næringen. Det har vært økt effektivitet og nyskaping etter oljeprisfallet i 2014. Dette omstillingsarbeidet har gitt resultater. Kostnadsnivået blant aktørene på norsk sokkel har blitt betydelig forbedret. Innovasjon basert på FoU og nye samarbeids- og forretningsmodeller har gitt effektiviseringsgevinster. Norske leverandører har klart å opprettholde konkurranseevnen, noe selskapene har vist ved å vinne en rekke store kontrakter den siste tiden, både på norsk sokkel og i utenlandske markeder.</w:t>
      </w:r>
    </w:p>
    <w:p w:rsidR="00880768" w:rsidRDefault="00880768" w:rsidP="00880768">
      <w:r>
        <w:t>Når det gjelder energinæringen, har Norge lang erfaring innen vannkraft og har bygget opp sterk kompetanse innen utbygging og drift, samt overføring, distribusjon og handel med elektrisk kraft. Norge har også kompetanse på samspillet mellom energi og miljø. Denne næringen er også i stor grad internasjonalt rettet. Det er muligheter for å ta en større andel av det økende globale markedet innenfor fornybar energi. Leveranser av varer og tjenester til denne næringen, (eksklusiv krafto</w:t>
      </w:r>
      <w:r>
        <w:t>m</w:t>
      </w:r>
      <w:r>
        <w:t>setning) utgjorde i 2016 totalt om lag 23 mrd. kroner, inklusiv eksport. Fornybarnæringen ekspo</w:t>
      </w:r>
      <w:r>
        <w:t>r</w:t>
      </w:r>
      <w:r>
        <w:t>terte for om lag 6 mrd. kroner, i tillegg til en internasjonal omsetning på i underkant av 8 mrd. kr</w:t>
      </w:r>
      <w:r>
        <w:t>o</w:t>
      </w:r>
      <w:r>
        <w:t>ner. Næringen sysselsatte totalt om lag 26 000 personer (Multiconsult, 2017).</w:t>
      </w:r>
    </w:p>
    <w:p w:rsidR="00880768" w:rsidRDefault="00880768" w:rsidP="00880768">
      <w:r>
        <w:lastRenderedPageBreak/>
        <w:t>Forventningene til kraftpriser i tiden framover vil påvirke graden av nye utbyggings- og oppru</w:t>
      </w:r>
      <w:r>
        <w:t>s</w:t>
      </w:r>
      <w:r>
        <w:t>tingsprosjekter. Dette er også med på å påvirke markedsbildet i Norge for leverandørindustrien til sektoren. Som for petroleumsnæringen, er det derfor viktig å fortsette med statlig bidrag til intern</w:t>
      </w:r>
      <w:r>
        <w:t>a</w:t>
      </w:r>
      <w:r>
        <w:t>sjonal satsing, slik at bedriftene både kan vokse i nye markeder og balansere eventuelle negative effekter av markedssvingninger i Norge.</w:t>
      </w:r>
    </w:p>
    <w:p w:rsidR="00880768" w:rsidRDefault="00880768" w:rsidP="00880768">
      <w:r>
        <w:t>Offshore vind peker seg ut som et nytt viktig teknologiområde. En rekke norske selskaper, herav mange som tradisjonelt har vært rettet mot petroleumsnæringen, søker å utnytte de mulighetene som ligger i teknologi- og kompetanseoverføring fra arbeidet med store og krevende prosjekter til havs.</w:t>
      </w:r>
    </w:p>
    <w:p w:rsidR="00880768" w:rsidRDefault="00880768" w:rsidP="00880768">
      <w:pPr>
        <w:pStyle w:val="Undertittel"/>
      </w:pPr>
      <w:r>
        <w:t>Hovedmål innenfor forskning og næringsutvikling</w:t>
      </w:r>
    </w:p>
    <w:p w:rsidR="00880768" w:rsidRDefault="00880768" w:rsidP="00880768">
      <w:r>
        <w:t>De overordnede målene for forskning og næringsutvikling er å bidra til økt bærekraftig verdisk</w:t>
      </w:r>
      <w:r>
        <w:t>a</w:t>
      </w:r>
      <w:r>
        <w:t>ping, sysselsetting og kompetanse i energi- og petroleumssektorene.</w:t>
      </w:r>
    </w:p>
    <w:p w:rsidR="00880768" w:rsidRDefault="00880768" w:rsidP="00880768">
      <w:pPr>
        <w:pStyle w:val="avsnitt-tittel"/>
      </w:pPr>
      <w:r>
        <w:t>Forskning og teknologiutvikling</w:t>
      </w:r>
    </w:p>
    <w:p w:rsidR="00880768" w:rsidRDefault="00880768" w:rsidP="00880768">
      <w:r>
        <w:t xml:space="preserve">Forsknings-, utviklings- og demonstrasjonsvirksomheten skal bidra til økt verdiskaping og sikker, kostnadseffektiv og bærekraftig utnyttelse av energi- og petroleumsressursene. </w:t>
      </w:r>
    </w:p>
    <w:p w:rsidR="00880768" w:rsidRDefault="00880768" w:rsidP="00880768">
      <w:r>
        <w:t>Innsatsen har følgende delmål:</w:t>
      </w:r>
    </w:p>
    <w:p w:rsidR="00880768" w:rsidRDefault="00880768" w:rsidP="00880768">
      <w:pPr>
        <w:pStyle w:val="Liste"/>
      </w:pPr>
      <w:r>
        <w:t>Sikre langsiktig kunnskaps- og teknologiutvikling.</w:t>
      </w:r>
    </w:p>
    <w:p w:rsidR="00880768" w:rsidRDefault="00880768" w:rsidP="00880768">
      <w:pPr>
        <w:pStyle w:val="Liste"/>
      </w:pPr>
      <w:r>
        <w:t>Fremme konkurransedyktighet og økt verdiskaping i energi- og petroleumsnæringene i Norge.</w:t>
      </w:r>
    </w:p>
    <w:p w:rsidR="00880768" w:rsidRDefault="00880768" w:rsidP="00880768">
      <w:pPr>
        <w:pStyle w:val="Liste"/>
      </w:pPr>
      <w:r>
        <w:t>Bidra med løsninger som legger til rette for et lavutslippssamfunn.</w:t>
      </w:r>
    </w:p>
    <w:p w:rsidR="00880768" w:rsidRDefault="00880768" w:rsidP="00880768">
      <w:r>
        <w:t>Forskningsinnsatsen skal være langsiktig, men også tilpasningsdyktig til nye behov og endringer i samfunnet og rammebetingelsene. Offentlig støtte skal forsterke og utløse økt aktivitet i næring</w:t>
      </w:r>
      <w:r>
        <w:t>e</w:t>
      </w:r>
      <w:r>
        <w:t xml:space="preserve">nes egen satsing på FoU. Midlene skal gå til prosjekter med samfunnsøkonomisk nytte som ikke ville blitt realisert, eller blitt realisert i et mindre omfang, uten støtte. </w:t>
      </w:r>
    </w:p>
    <w:p w:rsidR="00880768" w:rsidRDefault="00880768" w:rsidP="00880768">
      <w:r>
        <w:t>Olje- og energidepartementet har et overordnet ansvar for at disse målene nås. Viktige roller og oppgaver er tildelt Norges forskningsråd.</w:t>
      </w:r>
    </w:p>
    <w:p w:rsidR="00880768" w:rsidRDefault="00880768" w:rsidP="00880768">
      <w:pPr>
        <w:pStyle w:val="avsnitt-tittel"/>
      </w:pPr>
      <w:r>
        <w:t>Næringsutvikling og internasjonalisering</w:t>
      </w:r>
    </w:p>
    <w:p w:rsidR="00880768" w:rsidRDefault="00880768" w:rsidP="00880768">
      <w:r>
        <w:t>Næringsutvikling og internasjonaliseringsarbeidet skal understøtte den energi- og petroleumsrett</w:t>
      </w:r>
      <w:r>
        <w:t>e</w:t>
      </w:r>
      <w:r>
        <w:t>de leverandørindustriens arbeid med å skape og utnytte muligheter til videre utvikling av konku</w:t>
      </w:r>
      <w:r>
        <w:t>r</w:t>
      </w:r>
      <w:r>
        <w:t>ransekraften nasjonalt og internasjonalt. Skal norsk industris posisjon som en av de fremste på sine fagfelt opprettholdes, er det behov for styrking av kompetanse og teknologi, og konsentrering av innsatsen i de viktigste markedene. Det er viktig å utnytte muligheter i andre markeder der norsk teknologi og kompetanse etterspørres.</w:t>
      </w:r>
    </w:p>
    <w:p w:rsidR="00880768" w:rsidRDefault="00880768" w:rsidP="00880768">
      <w:pPr>
        <w:pStyle w:val="Undertittel"/>
      </w:pPr>
      <w:r>
        <w:t xml:space="preserve">Olje- og energidepartementets mål og oppgaver </w:t>
      </w:r>
    </w:p>
    <w:p w:rsidR="00880768" w:rsidRDefault="00880768" w:rsidP="00880768">
      <w:r>
        <w:t>Olje- og energidepartementet skal legge til rette for en samordnet og helhetlig politikk for fors</w:t>
      </w:r>
      <w:r>
        <w:t>k</w:t>
      </w:r>
      <w:r>
        <w:t>ning, teknologi og næringsutvikling innenfor energi- og petroleumsområdet.</w:t>
      </w:r>
    </w:p>
    <w:p w:rsidR="00880768" w:rsidRDefault="00880768" w:rsidP="00880768">
      <w:r>
        <w:t>Departementet vil følge opp langtidsplan for forskning og høyere utdanning, jf. Meld. St. 4 (2018–2019). Langtidsplanen har tiårige mål og prioriteringer og gir uttrykk for hva regjeringen mener er særlig viktig å prioritere den kommende fireårsperioden. For nærmere omtale, jf. Kunnskapsdepa</w:t>
      </w:r>
      <w:r>
        <w:t>r</w:t>
      </w:r>
      <w:r>
        <w:t xml:space="preserve">tementets Prop. 1 S (2018–2019), kapittel 5. </w:t>
      </w:r>
    </w:p>
    <w:p w:rsidR="00880768" w:rsidRDefault="00880768" w:rsidP="00880768">
      <w:r>
        <w:lastRenderedPageBreak/>
        <w:t>Departementet vil videreføre den etablerte forvaltningen av FoU-bevilgningene, der konkurrans</w:t>
      </w:r>
      <w:r>
        <w:t>e</w:t>
      </w:r>
      <w:r>
        <w:t>utsetting av forskningsmidler gjennom forskningsprogrammer står sentralt.</w:t>
      </w:r>
    </w:p>
    <w:p w:rsidR="00880768" w:rsidRDefault="00880768" w:rsidP="00880768">
      <w:r>
        <w:t>Deltakelse i internasjonalt forskningssamarbeid innen energi og petroleum er et viktig supplement til den nasjonale FoU-innsatsen og bidrar til å styrke kompetansen i norske forskningsmiljøer og næringsliv. Departementet er særlig opptatt av at de norske aktørene lykkes med sin deltakelse i EUs forsknings- og innovasjonsprogram Horisont 2020 og legger til rette for dette gjennom delt</w:t>
      </w:r>
      <w:r>
        <w:t>a</w:t>
      </w:r>
      <w:r>
        <w:t>kelse i relevante styringskomitéer i EU og finansiering av sentrale virkemidler i Norges fors</w:t>
      </w:r>
      <w:r>
        <w:t>k</w:t>
      </w:r>
      <w:r>
        <w:t xml:space="preserve">ningsråd. </w:t>
      </w:r>
    </w:p>
    <w:p w:rsidR="00880768" w:rsidRDefault="00880768" w:rsidP="00880768">
      <w:r>
        <w:t>FoU-strategiene OG21 og Energi21 gir et godt og omforent grunnlag for en helhetlig og langsiktig satsing innenfor energi- og petroleumsforskningen. Departementet vil påse at prioriteringene i de nasjonale FoU-strategiene blir ivaretatt gjennom programmene i Norges forskningsråd. Næring</w:t>
      </w:r>
      <w:r>
        <w:t>s</w:t>
      </w:r>
      <w:r>
        <w:t>rettet FoU er viktig for å opprettholde og styrke næringenes konkurransekraft.</w:t>
      </w:r>
    </w:p>
    <w:p w:rsidR="00880768" w:rsidRDefault="00880768" w:rsidP="00880768">
      <w:r>
        <w:t xml:space="preserve">Departementet vil arbeide for å opprettholde verdiskaping, sysselsetting og kompetanse på et høyt nivå i petroleums- og energinæringene. </w:t>
      </w:r>
    </w:p>
    <w:p w:rsidR="00880768" w:rsidRDefault="00880768" w:rsidP="00880768">
      <w:r>
        <w:t>Departementet vil bidra til å videreutvikle petroleums- og energinæringenes konkurransekraft både i hjemmemarkedet og internasjonalt, herunder videreføre arbeidet med internasjonalisering av de norskbaserte petroleums- og energinæringene gjennom blant annet støtte til Norwegian Energy Partners. Departementet vil i tillegg arbeide for å realisere potensialet for kompetanseoverføring og økt synergi mellom petroleum-, fornybar- og maritimnæringene. Fra departementets side ser en også et generelt behov for å få til en mer målrettet bruk av de samlede ressursene i det norske vi</w:t>
      </w:r>
      <w:r>
        <w:t>r</w:t>
      </w:r>
      <w:r>
        <w:t>kemiddelapparatet på myndighetsnivå. Departementet vil i samarbeid med Norwegian Energy Partners arbeide videre med dette, slik at denne spesialiserte virkemiddelaktøren for energ</w:t>
      </w:r>
      <w:r>
        <w:t>i</w:t>
      </w:r>
      <w:r>
        <w:t>næringene kan samarbeide mest mulig effektivt med andre aktører.</w:t>
      </w:r>
    </w:p>
    <w:p w:rsidR="00880768" w:rsidRDefault="00880768" w:rsidP="00880768">
      <w:pPr>
        <w:pStyle w:val="Undertittel"/>
      </w:pPr>
      <w:r>
        <w:t>Olje- og energidepartementets resultatrapport for 2017</w:t>
      </w:r>
    </w:p>
    <w:p w:rsidR="00880768" w:rsidRDefault="00880768" w:rsidP="00880768">
      <w:r>
        <w:t xml:space="preserve">Olje- og energidepartementet har gjennom satsingen på forskning og teknologiutvikling arbeidet for å styrke kompetansen og innovasjonsevnen innenfor energi- og petroleumssektorene. Det har vært et tett samarbeid med Norges forskningsråd i dette arbeidet. </w:t>
      </w:r>
    </w:p>
    <w:p w:rsidR="00880768" w:rsidRDefault="00880768" w:rsidP="00880768">
      <w:r>
        <w:t>Arbeidet i FoU-strategiene OG21 og Energi21 ble fulgt opp av departementet, blant annet gjennom observatørrollen i strategistyrene. OG21 og Energi21 drives av hvert sitt sekretariat i Norges fors</w:t>
      </w:r>
      <w:r>
        <w:t>k</w:t>
      </w:r>
      <w:r>
        <w:t>ningsråd i nært samarbeid med departementet. OG21-strategien ble kommunisert på viktige møt</w:t>
      </w:r>
      <w:r>
        <w:t>e</w:t>
      </w:r>
      <w:r>
        <w:t>plasser gjennom hele 2017. OG21 gjennomførte en studie om nye forretnings- og kontraktsmode</w:t>
      </w:r>
      <w:r>
        <w:t>l</w:t>
      </w:r>
      <w:r>
        <w:t>ler og innvirkningen på teknologiimplementering som ble presentert på OG21-forum. OG21-forum bekreftet sin plass som sentral møteplass for beslutningstakere innenfor FoU i petroleumssektoren. OG21-strategien har også inngått i kunnskapsgrunnlaget for revisjon av programplanene til P</w:t>
      </w:r>
      <w:r>
        <w:t>E</w:t>
      </w:r>
      <w:r>
        <w:t>TROMAKS 2 og DEMO 2000. Styret for Energi21 har i 2017 jobbet mye med revisjon av strat</w:t>
      </w:r>
      <w:r>
        <w:t>e</w:t>
      </w:r>
      <w:r>
        <w:t xml:space="preserve">gien, og departementet har påsett at dette skjer i henhold til mandatet som styret har fått fra Olje- og energidepartementet. Den nye Energi21-strategien ble lagt frem 15. juni 2018. </w:t>
      </w:r>
    </w:p>
    <w:p w:rsidR="00880768" w:rsidRDefault="00880768" w:rsidP="00880768">
      <w:r>
        <w:t>Departementet har deltatt som observatør i Forskningsrådets store programmer PETROMAKS 2 og ENERGIX. Departementet har også vært observatør i programmet DEMO 2000. I tillegg har d</w:t>
      </w:r>
      <w:r>
        <w:t>e</w:t>
      </w:r>
      <w:r>
        <w:t>partementet fulgt utviklingen i forskningssentrene for arktiske utfordringer og økt utvinning.</w:t>
      </w:r>
    </w:p>
    <w:p w:rsidR="00880768" w:rsidRDefault="00880768" w:rsidP="00880768">
      <w:r>
        <w:t>Departementet har videre fulgt aktiviteten i de åtte nye teknologisk rettede Forskningssentrene for miljøvennlig energi (FME) som ble utnevnt i 2016 og kom i drift i 2017. Departementet har i 2017 også fulgt de to samfunnsvitenskapelige sentrene som departementet finansierer, og hatt dialog med Forskningsrådet rundt arbeidet som ledet opp til utlysningen av nye samfunnsvitenskapelige FME-er tidlig i 2018.</w:t>
      </w:r>
    </w:p>
    <w:p w:rsidR="00880768" w:rsidRDefault="00880768" w:rsidP="00880768">
      <w:r>
        <w:lastRenderedPageBreak/>
        <w:t>Departementet har deltatt i internasjonale fora for FoU-samarbeid innenfor energi- og petrol</w:t>
      </w:r>
      <w:r>
        <w:t>e</w:t>
      </w:r>
      <w:r>
        <w:t>umsområdet, hovedsakelig innenfor EU-samarbeidet, IEA og Nordisk Energiforskning. På EU-arenaen har departementet engasjert seg i arbeidet i EUs Strategic Energy Technology Plan (SET-planen), i første rekke gjennom deltakelse i styringsgruppen og den underliggende arbeid</w:t>
      </w:r>
      <w:r>
        <w:t>s</w:t>
      </w:r>
      <w:r>
        <w:t>gruppen for CCS som ble startet opp i 2016. Norge ved Olje- og energidepartementet leder gruppen sammen med Nederland. Departementet har også deltatt i programkomiteen for energidelen av EUs forsknings- og innovasjonsprogram Horisont 2020. Innenfor IEA-samarbeidet, har departementet vært engasjert i de teknologisk rettede styringsgruppene i IEA og i samarbeidsprogrammet Gas and Oil Technologies Collaboration Programme (GOTCP), der departementet har ledet styringskom</w:t>
      </w:r>
      <w:r>
        <w:t>i</w:t>
      </w:r>
      <w:r>
        <w:t xml:space="preserve">teen. Departementet har gjennom sin lederrolle bidratt til at nye land har blitt medlemmer, herunder Brasil. </w:t>
      </w:r>
    </w:p>
    <w:p w:rsidR="00880768" w:rsidRDefault="00880768" w:rsidP="00880768">
      <w:r>
        <w:t>Som et ledd i departementets kunnskapsinnhenting, ble det også i 2017 gjennomført møter med ulike aktører innenfor petroleums- og energinæringene, herunder bedrifter, relevante interesseorg</w:t>
      </w:r>
      <w:r>
        <w:t>a</w:t>
      </w:r>
      <w:r>
        <w:t>nisasjoner og virkemiddelaktører. Videre ble det gjennomført studier av internasjonal omsetning og sysselsetting i petroleumsnæringen og i fornybarnæringen. Dette ga viktig innsikt om hvordan næringene påvirkes av markedssituasjonen nasjonalt og internasjonalt. Arbeidet med det bilaterale forsknings- og teknologisamarbeidet innen olje og gass mellom Brasil og Norge ble videreført. Norske universiteter, forskningsinstitutter og industri deltar i dette samarbeidet.</w:t>
      </w:r>
    </w:p>
    <w:p w:rsidR="00880768" w:rsidRDefault="00880768" w:rsidP="00880768">
      <w:r>
        <w:t>Departementet har også deltatt i Departementenes Forskningsutvalg (DFU). En sentral del av dette arbeidet har vært oppfølging av områdegjennomgangen av Norges forskningsråd, noe som blant annet har resultert i omlegging av administrasjonsbudsjettet til Forskningsrådet.</w:t>
      </w:r>
    </w:p>
    <w:p w:rsidR="00880768" w:rsidRDefault="00880768" w:rsidP="00880768">
      <w:pPr>
        <w:pStyle w:val="b-budkaptit"/>
      </w:pPr>
      <w:r>
        <w:t>Kap. 1830 Forskning og næringsutvikling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880768" w:rsidTr="00EC47F5">
        <w:trPr>
          <w:trHeight w:val="640"/>
        </w:trPr>
        <w:tc>
          <w:tcPr>
            <w:tcW w:w="1140" w:type="dxa"/>
            <w:shd w:val="clear" w:color="auto" w:fill="FFFFFF"/>
          </w:tcPr>
          <w:p w:rsidR="00880768" w:rsidRDefault="00880768" w:rsidP="00EC47F5">
            <w:pPr>
              <w:pStyle w:val="Tabellnavn"/>
            </w:pPr>
            <w:r>
              <w:t>KPAL</w:t>
            </w:r>
          </w:p>
        </w:tc>
        <w:tc>
          <w:tcPr>
            <w:tcW w:w="4560" w:type="dxa"/>
          </w:tcPr>
          <w:p w:rsidR="00880768" w:rsidRDefault="00880768" w:rsidP="00EC47F5">
            <w:pPr>
              <w:pStyle w:val="Tabellnavn"/>
            </w:pPr>
          </w:p>
        </w:tc>
        <w:tc>
          <w:tcPr>
            <w:tcW w:w="1140" w:type="dxa"/>
          </w:tcPr>
          <w:p w:rsidR="00880768" w:rsidRDefault="00880768" w:rsidP="00EC47F5">
            <w:pPr>
              <w:pStyle w:val="Tabellnavn"/>
              <w:jc w:val="right"/>
            </w:pPr>
          </w:p>
        </w:tc>
        <w:tc>
          <w:tcPr>
            <w:tcW w:w="1140" w:type="dxa"/>
          </w:tcPr>
          <w:p w:rsidR="00880768" w:rsidRDefault="00880768" w:rsidP="00EC47F5">
            <w:pPr>
              <w:pStyle w:val="Tabellnavn"/>
              <w:jc w:val="right"/>
            </w:pPr>
          </w:p>
        </w:tc>
        <w:tc>
          <w:tcPr>
            <w:tcW w:w="1140" w:type="dxa"/>
          </w:tcPr>
          <w:p w:rsidR="00880768" w:rsidRDefault="00880768" w:rsidP="00EC47F5">
            <w:pPr>
              <w:jc w:val="right"/>
            </w:pPr>
            <w:r>
              <w:t>(i 1 000 kr)</w:t>
            </w:r>
          </w:p>
        </w:tc>
      </w:tr>
      <w:tr w:rsidR="00880768" w:rsidTr="00EC47F5">
        <w:trPr>
          <w:trHeight w:val="600"/>
        </w:trPr>
        <w:tc>
          <w:tcPr>
            <w:tcW w:w="1140" w:type="dxa"/>
          </w:tcPr>
          <w:p w:rsidR="00880768" w:rsidRDefault="00880768" w:rsidP="00EC47F5">
            <w:r>
              <w:t>Post</w:t>
            </w:r>
          </w:p>
        </w:tc>
        <w:tc>
          <w:tcPr>
            <w:tcW w:w="4560" w:type="dxa"/>
          </w:tcPr>
          <w:p w:rsidR="00880768" w:rsidRDefault="00880768" w:rsidP="00EC47F5">
            <w:r>
              <w:t>Betegnelse</w:t>
            </w:r>
          </w:p>
        </w:tc>
        <w:tc>
          <w:tcPr>
            <w:tcW w:w="1140" w:type="dxa"/>
          </w:tcPr>
          <w:p w:rsidR="00880768" w:rsidRDefault="00880768" w:rsidP="00EC47F5">
            <w:pPr>
              <w:jc w:val="right"/>
            </w:pPr>
            <w:r>
              <w:t>Reg</w:t>
            </w:r>
            <w:r>
              <w:t>n</w:t>
            </w:r>
            <w:r>
              <w:t>skap 2017</w:t>
            </w:r>
          </w:p>
        </w:tc>
        <w:tc>
          <w:tcPr>
            <w:tcW w:w="1140" w:type="dxa"/>
          </w:tcPr>
          <w:p w:rsidR="00880768" w:rsidRDefault="00880768" w:rsidP="00EC47F5">
            <w:pPr>
              <w:jc w:val="right"/>
            </w:pPr>
            <w:r>
              <w:t xml:space="preserve">Saldert </w:t>
            </w:r>
            <w:r>
              <w:rPr>
                <w:sz w:val="22"/>
              </w:rPr>
              <w:br/>
            </w:r>
            <w:r>
              <w:t>budsjett 2018</w:t>
            </w:r>
          </w:p>
        </w:tc>
        <w:tc>
          <w:tcPr>
            <w:tcW w:w="1140" w:type="dxa"/>
          </w:tcPr>
          <w:p w:rsidR="00880768" w:rsidRDefault="00880768" w:rsidP="00EC47F5">
            <w:pPr>
              <w:jc w:val="right"/>
            </w:pPr>
            <w:r>
              <w:t xml:space="preserve">Forslag </w:t>
            </w:r>
            <w:r>
              <w:rPr>
                <w:sz w:val="22"/>
              </w:rPr>
              <w:br/>
            </w:r>
            <w:r>
              <w:t>2019</w:t>
            </w:r>
          </w:p>
        </w:tc>
      </w:tr>
      <w:tr w:rsidR="00880768" w:rsidTr="00EC47F5">
        <w:trPr>
          <w:trHeight w:val="380"/>
        </w:trPr>
        <w:tc>
          <w:tcPr>
            <w:tcW w:w="1140" w:type="dxa"/>
          </w:tcPr>
          <w:p w:rsidR="00880768" w:rsidRDefault="00880768" w:rsidP="00EC47F5">
            <w:r>
              <w:t>50</w:t>
            </w:r>
          </w:p>
        </w:tc>
        <w:tc>
          <w:tcPr>
            <w:tcW w:w="4560" w:type="dxa"/>
          </w:tcPr>
          <w:p w:rsidR="00880768" w:rsidRDefault="00880768" w:rsidP="00EC47F5">
            <w:r>
              <w:t xml:space="preserve">Overføring til Norges forskningsråd </w:t>
            </w:r>
          </w:p>
        </w:tc>
        <w:tc>
          <w:tcPr>
            <w:tcW w:w="1140" w:type="dxa"/>
          </w:tcPr>
          <w:p w:rsidR="00880768" w:rsidRDefault="00880768" w:rsidP="00EC47F5">
            <w:pPr>
              <w:jc w:val="right"/>
            </w:pPr>
            <w:r>
              <w:t>893 654</w:t>
            </w:r>
          </w:p>
        </w:tc>
        <w:tc>
          <w:tcPr>
            <w:tcW w:w="1140" w:type="dxa"/>
          </w:tcPr>
          <w:p w:rsidR="00880768" w:rsidRDefault="00880768" w:rsidP="00EC47F5">
            <w:pPr>
              <w:jc w:val="right"/>
            </w:pPr>
            <w:r>
              <w:t>769 913</w:t>
            </w:r>
          </w:p>
        </w:tc>
        <w:tc>
          <w:tcPr>
            <w:tcW w:w="1140" w:type="dxa"/>
          </w:tcPr>
          <w:p w:rsidR="00880768" w:rsidRDefault="00880768" w:rsidP="00EC47F5">
            <w:pPr>
              <w:jc w:val="right"/>
            </w:pPr>
            <w:r>
              <w:t>800 500</w:t>
            </w:r>
          </w:p>
        </w:tc>
      </w:tr>
      <w:tr w:rsidR="00880768" w:rsidTr="00EC47F5">
        <w:trPr>
          <w:trHeight w:val="380"/>
        </w:trPr>
        <w:tc>
          <w:tcPr>
            <w:tcW w:w="1140" w:type="dxa"/>
          </w:tcPr>
          <w:p w:rsidR="00880768" w:rsidRDefault="00880768" w:rsidP="00EC47F5">
            <w:r>
              <w:t>70</w:t>
            </w:r>
          </w:p>
        </w:tc>
        <w:tc>
          <w:tcPr>
            <w:tcW w:w="4560" w:type="dxa"/>
          </w:tcPr>
          <w:p w:rsidR="00880768" w:rsidRDefault="00880768" w:rsidP="00EC47F5">
            <w:r>
              <w:t xml:space="preserve">Tilskudd til Nordisk Energiforskning </w:t>
            </w:r>
          </w:p>
        </w:tc>
        <w:tc>
          <w:tcPr>
            <w:tcW w:w="1140" w:type="dxa"/>
          </w:tcPr>
          <w:p w:rsidR="00880768" w:rsidRDefault="00880768" w:rsidP="00EC47F5">
            <w:pPr>
              <w:jc w:val="right"/>
            </w:pPr>
            <w:r>
              <w:t>16 520</w:t>
            </w:r>
          </w:p>
        </w:tc>
        <w:tc>
          <w:tcPr>
            <w:tcW w:w="1140" w:type="dxa"/>
          </w:tcPr>
          <w:p w:rsidR="00880768" w:rsidRDefault="00880768" w:rsidP="00EC47F5">
            <w:pPr>
              <w:jc w:val="right"/>
            </w:pPr>
            <w:r>
              <w:t>11 300</w:t>
            </w:r>
          </w:p>
        </w:tc>
        <w:tc>
          <w:tcPr>
            <w:tcW w:w="1140" w:type="dxa"/>
          </w:tcPr>
          <w:p w:rsidR="00880768" w:rsidRDefault="00880768" w:rsidP="00EC47F5">
            <w:pPr>
              <w:jc w:val="right"/>
            </w:pPr>
            <w:r>
              <w:t>11 000</w:t>
            </w:r>
          </w:p>
        </w:tc>
      </w:tr>
      <w:tr w:rsidR="00880768" w:rsidTr="00EC47F5">
        <w:trPr>
          <w:trHeight w:val="380"/>
        </w:trPr>
        <w:tc>
          <w:tcPr>
            <w:tcW w:w="1140" w:type="dxa"/>
          </w:tcPr>
          <w:p w:rsidR="00880768" w:rsidRDefault="00880768" w:rsidP="00EC47F5">
            <w:r>
              <w:t>72</w:t>
            </w:r>
          </w:p>
        </w:tc>
        <w:tc>
          <w:tcPr>
            <w:tcW w:w="4560" w:type="dxa"/>
          </w:tcPr>
          <w:p w:rsidR="00880768" w:rsidRDefault="00880768" w:rsidP="00EC47F5">
            <w:r>
              <w:t xml:space="preserve">Tilskudd til Norwegian Energy Partners </w:t>
            </w:r>
          </w:p>
        </w:tc>
        <w:tc>
          <w:tcPr>
            <w:tcW w:w="1140" w:type="dxa"/>
          </w:tcPr>
          <w:p w:rsidR="00880768" w:rsidRDefault="00880768" w:rsidP="00EC47F5">
            <w:pPr>
              <w:jc w:val="right"/>
            </w:pPr>
            <w:r>
              <w:t>34 200</w:t>
            </w:r>
          </w:p>
        </w:tc>
        <w:tc>
          <w:tcPr>
            <w:tcW w:w="1140" w:type="dxa"/>
          </w:tcPr>
          <w:p w:rsidR="00880768" w:rsidRDefault="00880768" w:rsidP="00EC47F5">
            <w:pPr>
              <w:jc w:val="right"/>
            </w:pPr>
            <w:r>
              <w:t>34 000</w:t>
            </w:r>
          </w:p>
        </w:tc>
        <w:tc>
          <w:tcPr>
            <w:tcW w:w="1140" w:type="dxa"/>
          </w:tcPr>
          <w:p w:rsidR="00880768" w:rsidRDefault="00880768" w:rsidP="00EC47F5">
            <w:pPr>
              <w:jc w:val="right"/>
            </w:pPr>
            <w:r>
              <w:t>34 000</w:t>
            </w:r>
          </w:p>
        </w:tc>
      </w:tr>
      <w:tr w:rsidR="00880768" w:rsidTr="00EC47F5">
        <w:trPr>
          <w:trHeight w:val="380"/>
        </w:trPr>
        <w:tc>
          <w:tcPr>
            <w:tcW w:w="1140" w:type="dxa"/>
          </w:tcPr>
          <w:p w:rsidR="00880768" w:rsidRDefault="00880768" w:rsidP="00EC47F5"/>
        </w:tc>
        <w:tc>
          <w:tcPr>
            <w:tcW w:w="4560" w:type="dxa"/>
          </w:tcPr>
          <w:p w:rsidR="00880768" w:rsidRDefault="00880768" w:rsidP="00EC47F5">
            <w:r>
              <w:t>Sum kap. 1830</w:t>
            </w:r>
          </w:p>
        </w:tc>
        <w:tc>
          <w:tcPr>
            <w:tcW w:w="1140" w:type="dxa"/>
          </w:tcPr>
          <w:p w:rsidR="00880768" w:rsidRDefault="00880768" w:rsidP="00EC47F5">
            <w:pPr>
              <w:jc w:val="right"/>
            </w:pPr>
            <w:r>
              <w:t>944 374</w:t>
            </w:r>
          </w:p>
        </w:tc>
        <w:tc>
          <w:tcPr>
            <w:tcW w:w="1140" w:type="dxa"/>
          </w:tcPr>
          <w:p w:rsidR="00880768" w:rsidRDefault="00880768" w:rsidP="00EC47F5">
            <w:pPr>
              <w:jc w:val="right"/>
            </w:pPr>
            <w:r>
              <w:t>815 213</w:t>
            </w:r>
          </w:p>
        </w:tc>
        <w:tc>
          <w:tcPr>
            <w:tcW w:w="1140" w:type="dxa"/>
          </w:tcPr>
          <w:p w:rsidR="00880768" w:rsidRDefault="00880768" w:rsidP="00EC47F5">
            <w:pPr>
              <w:jc w:val="right"/>
            </w:pPr>
            <w:r>
              <w:t>845 500</w:t>
            </w:r>
          </w:p>
        </w:tc>
      </w:tr>
    </w:tbl>
    <w:p w:rsidR="00880768" w:rsidRDefault="00880768" w:rsidP="00880768">
      <w:pPr>
        <w:pStyle w:val="b-post"/>
      </w:pPr>
      <w:r>
        <w:t>Post 50 Overføring til Norges forskningsråd</w:t>
      </w:r>
    </w:p>
    <w:p w:rsidR="00880768" w:rsidRDefault="00880768" w:rsidP="00880768">
      <w:r>
        <w:t>Norges forskningsråd er det sentrale organet for oppfølging av regjeringens forskningspolitiske prioriteringer. Forskningsrådet har ansvar for forskning på alle fagområder, med virkemidler som spenner fra grunnforskning til innovasjonsrettet forskning og kommersialisering av forskningsr</w:t>
      </w:r>
      <w:r>
        <w:t>e</w:t>
      </w:r>
      <w:r>
        <w:t>sultater. Forskningsrådets tre hovedoppgaver er å finansiere forskning, gi forskningspolitiske råd og skape møteplasser. Forskningsrådet er et forvaltningsorgan med særskilte fullmakter admin</w:t>
      </w:r>
      <w:r>
        <w:t>i</w:t>
      </w:r>
      <w:r>
        <w:t xml:space="preserve">strativt underlagt Kunnskapsdepartementet. </w:t>
      </w:r>
    </w:p>
    <w:p w:rsidR="00880768" w:rsidRDefault="00880768" w:rsidP="00880768">
      <w:r>
        <w:t>Gjennom energi- og petroleumsforskningsprogrammene finansieres langsiktig grunnleggende forskning, anvendt forskning, teknologiutvikling, pilot- og demonstrasjonsprosjekter, samt sa</w:t>
      </w:r>
      <w:r>
        <w:t>m</w:t>
      </w:r>
      <w:r>
        <w:t>funnsfaglig energi- og petroleumsforskning. Konkurranseutsetting av forskningsmidlene i pr</w:t>
      </w:r>
      <w:r>
        <w:t>o</w:t>
      </w:r>
      <w:r>
        <w:t>grammene står sentralt.</w:t>
      </w:r>
    </w:p>
    <w:p w:rsidR="00880768" w:rsidRDefault="00880768" w:rsidP="00880768">
      <w:r>
        <w:t xml:space="preserve">Mål for Norges forskningsråd: </w:t>
      </w:r>
    </w:p>
    <w:p w:rsidR="00880768" w:rsidRDefault="00880768" w:rsidP="00880768">
      <w:pPr>
        <w:pStyle w:val="Liste"/>
      </w:pPr>
      <w:r>
        <w:lastRenderedPageBreak/>
        <w:t xml:space="preserve">Økt vitenskapelig kvalitet </w:t>
      </w:r>
    </w:p>
    <w:p w:rsidR="00880768" w:rsidRDefault="00880768" w:rsidP="00880768">
      <w:pPr>
        <w:pStyle w:val="Liste"/>
      </w:pPr>
      <w:r>
        <w:t xml:space="preserve">Økt verdiskaping i næringslivet </w:t>
      </w:r>
    </w:p>
    <w:p w:rsidR="00880768" w:rsidRDefault="00880768" w:rsidP="00880768">
      <w:pPr>
        <w:pStyle w:val="Liste"/>
      </w:pPr>
      <w:r>
        <w:t xml:space="preserve">Møte store samfunnsutfordringer </w:t>
      </w:r>
    </w:p>
    <w:p w:rsidR="00880768" w:rsidRDefault="00880768" w:rsidP="00880768">
      <w:pPr>
        <w:pStyle w:val="Liste"/>
      </w:pPr>
      <w:r>
        <w:t xml:space="preserve">Et velfungerende forskningssystem </w:t>
      </w:r>
    </w:p>
    <w:p w:rsidR="00880768" w:rsidRDefault="00880768" w:rsidP="00880768">
      <w:pPr>
        <w:pStyle w:val="Liste"/>
      </w:pPr>
      <w:r>
        <w:t xml:space="preserve">God rådgiving </w:t>
      </w:r>
    </w:p>
    <w:p w:rsidR="00880768" w:rsidRDefault="00880768" w:rsidP="00880768">
      <w:r>
        <w:t>Målene er felles for alle departementene. Kunnskapsdepartementet har utarbeidet et system for styring av Norges forskningsråd i samarbeid med de andre departementene og Forskningsrådet. Olje- og energidepartementet styrer sine midler til Forskningsrådet i tråd med dette. Samlet resultat av Norges forskningsråds virksomhet i 2017 er omtalt i Kunnskapsdepartementets budsjettpropos</w:t>
      </w:r>
      <w:r>
        <w:t>i</w:t>
      </w:r>
      <w:r>
        <w:t>sjon for 2019.</w:t>
      </w:r>
    </w:p>
    <w:p w:rsidR="00880768" w:rsidRDefault="00880768" w:rsidP="00880768">
      <w:r>
        <w:t xml:space="preserve">Midler til drift av Norges forskningsråds virksomhet og forskningsprogrammene bevilges over Kunnskapsdepartementets kap. 285 Norges forskningsråd, post 55 Virksomhetskostnader. </w:t>
      </w:r>
    </w:p>
    <w:p w:rsidR="00532ECF" w:rsidRDefault="00532ECF" w:rsidP="0063539A">
      <w:pPr>
        <w:pStyle w:val="tabell-tittel"/>
      </w:pPr>
      <w:r>
        <w:rPr>
          <w:sz w:val="21"/>
          <w:szCs w:val="21"/>
        </w:rPr>
        <w:t>Fordeling av bevilgningen under kap. 1830, post 50 på programmer og aktiviteter</w:t>
      </w:r>
    </w:p>
    <w:p w:rsidR="00880768" w:rsidRDefault="00880768" w:rsidP="00880768">
      <w:pPr>
        <w:pStyle w:val="Tabellnavn"/>
      </w:pPr>
      <w:r>
        <w:t>03J2xt2</w:t>
      </w:r>
    </w:p>
    <w:tbl>
      <w:tblPr>
        <w:tblStyle w:val="StandardTabell"/>
        <w:tblW w:w="0" w:type="auto"/>
        <w:tblLayout w:type="fixed"/>
        <w:tblLook w:val="04A0" w:firstRow="1" w:lastRow="0" w:firstColumn="1" w:lastColumn="0" w:noHBand="0" w:noVBand="1"/>
      </w:tblPr>
      <w:tblGrid>
        <w:gridCol w:w="6740"/>
        <w:gridCol w:w="1400"/>
        <w:gridCol w:w="1400"/>
      </w:tblGrid>
      <w:tr w:rsidR="00880768" w:rsidTr="00880768">
        <w:trPr>
          <w:trHeight w:val="360"/>
        </w:trPr>
        <w:tc>
          <w:tcPr>
            <w:tcW w:w="6740" w:type="dxa"/>
          </w:tcPr>
          <w:p w:rsidR="00880768" w:rsidRDefault="00880768" w:rsidP="00880768"/>
        </w:tc>
        <w:tc>
          <w:tcPr>
            <w:tcW w:w="1400" w:type="dxa"/>
          </w:tcPr>
          <w:p w:rsidR="00880768" w:rsidRDefault="00880768" w:rsidP="00880768"/>
        </w:tc>
        <w:tc>
          <w:tcPr>
            <w:tcW w:w="1400" w:type="dxa"/>
          </w:tcPr>
          <w:p w:rsidR="00880768" w:rsidRDefault="00880768" w:rsidP="00880768">
            <w:r>
              <w:t>(i 1 000 kr)</w:t>
            </w:r>
          </w:p>
        </w:tc>
      </w:tr>
      <w:tr w:rsidR="00880768" w:rsidTr="00880768">
        <w:trPr>
          <w:trHeight w:val="600"/>
        </w:trPr>
        <w:tc>
          <w:tcPr>
            <w:tcW w:w="6740" w:type="dxa"/>
          </w:tcPr>
          <w:p w:rsidR="00880768" w:rsidRDefault="00880768" w:rsidP="00880768">
            <w:r>
              <w:t>Formål</w:t>
            </w:r>
          </w:p>
        </w:tc>
        <w:tc>
          <w:tcPr>
            <w:tcW w:w="1400" w:type="dxa"/>
          </w:tcPr>
          <w:p w:rsidR="00880768" w:rsidRDefault="00880768" w:rsidP="00880768">
            <w:r>
              <w:t xml:space="preserve">Saldert </w:t>
            </w:r>
            <w:r>
              <w:rPr>
                <w:sz w:val="22"/>
              </w:rPr>
              <w:br/>
            </w:r>
            <w:r>
              <w:t>budsjett 2018</w:t>
            </w:r>
          </w:p>
        </w:tc>
        <w:tc>
          <w:tcPr>
            <w:tcW w:w="1400" w:type="dxa"/>
          </w:tcPr>
          <w:p w:rsidR="00880768" w:rsidRDefault="00880768" w:rsidP="00880768">
            <w:r>
              <w:t xml:space="preserve">Forslag </w:t>
            </w:r>
            <w:r>
              <w:rPr>
                <w:sz w:val="22"/>
              </w:rPr>
              <w:br/>
            </w:r>
            <w:r>
              <w:t>2019</w:t>
            </w:r>
          </w:p>
        </w:tc>
      </w:tr>
      <w:tr w:rsidR="00880768" w:rsidTr="00880768">
        <w:trPr>
          <w:trHeight w:val="380"/>
        </w:trPr>
        <w:tc>
          <w:tcPr>
            <w:tcW w:w="6740" w:type="dxa"/>
          </w:tcPr>
          <w:p w:rsidR="00880768" w:rsidRDefault="00880768" w:rsidP="00880768">
            <w:r>
              <w:t>Petroleumssektoren:</w:t>
            </w:r>
          </w:p>
        </w:tc>
        <w:tc>
          <w:tcPr>
            <w:tcW w:w="1400" w:type="dxa"/>
          </w:tcPr>
          <w:p w:rsidR="00880768" w:rsidRDefault="00880768" w:rsidP="00880768"/>
        </w:tc>
        <w:tc>
          <w:tcPr>
            <w:tcW w:w="1400" w:type="dxa"/>
          </w:tcPr>
          <w:p w:rsidR="00880768" w:rsidRDefault="00880768" w:rsidP="00880768"/>
        </w:tc>
      </w:tr>
      <w:tr w:rsidR="00880768" w:rsidTr="00880768">
        <w:trPr>
          <w:trHeight w:val="380"/>
        </w:trPr>
        <w:tc>
          <w:tcPr>
            <w:tcW w:w="6740" w:type="dxa"/>
          </w:tcPr>
          <w:p w:rsidR="00880768" w:rsidRDefault="00880768" w:rsidP="00880768">
            <w:r>
              <w:t>PETROMAKS 2</w:t>
            </w:r>
          </w:p>
        </w:tc>
        <w:tc>
          <w:tcPr>
            <w:tcW w:w="1400" w:type="dxa"/>
          </w:tcPr>
          <w:p w:rsidR="00880768" w:rsidRDefault="00880768" w:rsidP="00880768">
            <w:r>
              <w:t>207 913</w:t>
            </w:r>
          </w:p>
        </w:tc>
        <w:tc>
          <w:tcPr>
            <w:tcW w:w="1400" w:type="dxa"/>
          </w:tcPr>
          <w:p w:rsidR="00880768" w:rsidRDefault="00880768" w:rsidP="00880768">
            <w:r>
              <w:t>218 500</w:t>
            </w:r>
          </w:p>
        </w:tc>
      </w:tr>
      <w:tr w:rsidR="00880768" w:rsidTr="00880768">
        <w:trPr>
          <w:trHeight w:val="380"/>
        </w:trPr>
        <w:tc>
          <w:tcPr>
            <w:tcW w:w="6740" w:type="dxa"/>
          </w:tcPr>
          <w:p w:rsidR="00880768" w:rsidRDefault="00880768" w:rsidP="00880768">
            <w:r>
              <w:t>DEMO 2000</w:t>
            </w:r>
          </w:p>
        </w:tc>
        <w:tc>
          <w:tcPr>
            <w:tcW w:w="1400" w:type="dxa"/>
          </w:tcPr>
          <w:p w:rsidR="00880768" w:rsidRDefault="00880768" w:rsidP="00880768">
            <w:r>
              <w:t>70 000</w:t>
            </w:r>
          </w:p>
        </w:tc>
        <w:tc>
          <w:tcPr>
            <w:tcW w:w="1400" w:type="dxa"/>
          </w:tcPr>
          <w:p w:rsidR="00880768" w:rsidRDefault="00880768" w:rsidP="00880768">
            <w:r>
              <w:t>70 000</w:t>
            </w:r>
          </w:p>
        </w:tc>
      </w:tr>
      <w:tr w:rsidR="00880768" w:rsidTr="00880768">
        <w:trPr>
          <w:trHeight w:val="380"/>
        </w:trPr>
        <w:tc>
          <w:tcPr>
            <w:tcW w:w="6740" w:type="dxa"/>
          </w:tcPr>
          <w:p w:rsidR="00880768" w:rsidRDefault="00880768" w:rsidP="00880768">
            <w:r>
              <w:t>Forskningssentre for petroleumsvirksomhet</w:t>
            </w:r>
          </w:p>
        </w:tc>
        <w:tc>
          <w:tcPr>
            <w:tcW w:w="1400" w:type="dxa"/>
          </w:tcPr>
          <w:p w:rsidR="00880768" w:rsidRDefault="00880768" w:rsidP="00880768">
            <w:r>
              <w:t>30 000</w:t>
            </w:r>
          </w:p>
        </w:tc>
        <w:tc>
          <w:tcPr>
            <w:tcW w:w="1400" w:type="dxa"/>
          </w:tcPr>
          <w:p w:rsidR="00880768" w:rsidRDefault="00880768" w:rsidP="00880768">
            <w:r>
              <w:t>30 000</w:t>
            </w:r>
          </w:p>
        </w:tc>
      </w:tr>
      <w:tr w:rsidR="00880768" w:rsidTr="00880768">
        <w:trPr>
          <w:trHeight w:val="380"/>
        </w:trPr>
        <w:tc>
          <w:tcPr>
            <w:tcW w:w="6740" w:type="dxa"/>
          </w:tcPr>
          <w:p w:rsidR="00880768" w:rsidRDefault="00880768" w:rsidP="00880768">
            <w:r>
              <w:t>MARINFORSK</w:t>
            </w:r>
          </w:p>
        </w:tc>
        <w:tc>
          <w:tcPr>
            <w:tcW w:w="1400" w:type="dxa"/>
          </w:tcPr>
          <w:p w:rsidR="00880768" w:rsidRDefault="00880768" w:rsidP="00880768">
            <w:r>
              <w:t>5 500</w:t>
            </w:r>
          </w:p>
        </w:tc>
        <w:tc>
          <w:tcPr>
            <w:tcW w:w="1400" w:type="dxa"/>
          </w:tcPr>
          <w:p w:rsidR="00880768" w:rsidRDefault="00880768" w:rsidP="00880768">
            <w:r>
              <w:t>5 500</w:t>
            </w:r>
          </w:p>
        </w:tc>
      </w:tr>
      <w:tr w:rsidR="00880768" w:rsidTr="00880768">
        <w:trPr>
          <w:trHeight w:val="380"/>
        </w:trPr>
        <w:tc>
          <w:tcPr>
            <w:tcW w:w="6740" w:type="dxa"/>
          </w:tcPr>
          <w:p w:rsidR="00880768" w:rsidRDefault="00880768" w:rsidP="00880768">
            <w:r>
              <w:t>Strategisk petroleumsforskning</w:t>
            </w:r>
          </w:p>
        </w:tc>
        <w:tc>
          <w:tcPr>
            <w:tcW w:w="1400" w:type="dxa"/>
          </w:tcPr>
          <w:p w:rsidR="00880768" w:rsidRDefault="00880768" w:rsidP="00880768">
            <w:r>
              <w:t>6 500</w:t>
            </w:r>
          </w:p>
        </w:tc>
        <w:tc>
          <w:tcPr>
            <w:tcW w:w="1400" w:type="dxa"/>
          </w:tcPr>
          <w:p w:rsidR="00880768" w:rsidRDefault="00880768" w:rsidP="00880768">
            <w:r>
              <w:t>6 500</w:t>
            </w:r>
          </w:p>
        </w:tc>
      </w:tr>
      <w:tr w:rsidR="00880768" w:rsidTr="00880768">
        <w:trPr>
          <w:trHeight w:val="380"/>
        </w:trPr>
        <w:tc>
          <w:tcPr>
            <w:tcW w:w="6740" w:type="dxa"/>
          </w:tcPr>
          <w:p w:rsidR="00880768" w:rsidRDefault="00880768" w:rsidP="00880768">
            <w:r>
              <w:t>Sum Petroleumssektoren</w:t>
            </w:r>
          </w:p>
        </w:tc>
        <w:tc>
          <w:tcPr>
            <w:tcW w:w="1400" w:type="dxa"/>
          </w:tcPr>
          <w:p w:rsidR="00880768" w:rsidRDefault="00880768" w:rsidP="00880768">
            <w:r>
              <w:t>319 913</w:t>
            </w:r>
          </w:p>
        </w:tc>
        <w:tc>
          <w:tcPr>
            <w:tcW w:w="1400" w:type="dxa"/>
          </w:tcPr>
          <w:p w:rsidR="00880768" w:rsidRDefault="00880768" w:rsidP="00880768">
            <w:r>
              <w:t>330 500</w:t>
            </w:r>
          </w:p>
        </w:tc>
      </w:tr>
      <w:tr w:rsidR="00880768" w:rsidTr="00880768">
        <w:trPr>
          <w:trHeight w:val="380"/>
        </w:trPr>
        <w:tc>
          <w:tcPr>
            <w:tcW w:w="6740" w:type="dxa"/>
          </w:tcPr>
          <w:p w:rsidR="00880768" w:rsidRDefault="00880768" w:rsidP="00880768">
            <w:r>
              <w:t>Energisektoren:</w:t>
            </w:r>
          </w:p>
        </w:tc>
        <w:tc>
          <w:tcPr>
            <w:tcW w:w="1400" w:type="dxa"/>
          </w:tcPr>
          <w:p w:rsidR="00880768" w:rsidRDefault="00880768" w:rsidP="00880768"/>
        </w:tc>
        <w:tc>
          <w:tcPr>
            <w:tcW w:w="1400" w:type="dxa"/>
          </w:tcPr>
          <w:p w:rsidR="00880768" w:rsidRDefault="00880768" w:rsidP="00880768"/>
        </w:tc>
      </w:tr>
      <w:tr w:rsidR="00880768" w:rsidTr="00880768">
        <w:trPr>
          <w:trHeight w:val="380"/>
        </w:trPr>
        <w:tc>
          <w:tcPr>
            <w:tcW w:w="6740" w:type="dxa"/>
          </w:tcPr>
          <w:p w:rsidR="00880768" w:rsidRDefault="00880768" w:rsidP="00880768">
            <w:r>
              <w:t>ENERGIX</w:t>
            </w:r>
          </w:p>
        </w:tc>
        <w:tc>
          <w:tcPr>
            <w:tcW w:w="1400" w:type="dxa"/>
          </w:tcPr>
          <w:p w:rsidR="00880768" w:rsidRDefault="00880768" w:rsidP="00880768">
            <w:r>
              <w:t>265 000</w:t>
            </w:r>
          </w:p>
        </w:tc>
        <w:tc>
          <w:tcPr>
            <w:tcW w:w="1400" w:type="dxa"/>
          </w:tcPr>
          <w:p w:rsidR="00880768" w:rsidRDefault="00880768" w:rsidP="00880768">
            <w:r>
              <w:t>285 000</w:t>
            </w:r>
          </w:p>
        </w:tc>
      </w:tr>
      <w:tr w:rsidR="00880768" w:rsidTr="00880768">
        <w:trPr>
          <w:trHeight w:val="380"/>
        </w:trPr>
        <w:tc>
          <w:tcPr>
            <w:tcW w:w="6740" w:type="dxa"/>
          </w:tcPr>
          <w:p w:rsidR="00880768" w:rsidRDefault="00880768" w:rsidP="00880768">
            <w:r>
              <w:t>Forskningssentre for miljøvennlig energi (FME)</w:t>
            </w:r>
          </w:p>
        </w:tc>
        <w:tc>
          <w:tcPr>
            <w:tcW w:w="1400" w:type="dxa"/>
          </w:tcPr>
          <w:p w:rsidR="00880768" w:rsidRDefault="00880768" w:rsidP="00880768">
            <w:r>
              <w:t>177 000</w:t>
            </w:r>
          </w:p>
        </w:tc>
        <w:tc>
          <w:tcPr>
            <w:tcW w:w="1400" w:type="dxa"/>
          </w:tcPr>
          <w:p w:rsidR="00880768" w:rsidRDefault="00880768" w:rsidP="00880768">
            <w:r>
              <w:t>177 000</w:t>
            </w:r>
          </w:p>
        </w:tc>
      </w:tr>
      <w:tr w:rsidR="00880768" w:rsidTr="00880768">
        <w:trPr>
          <w:trHeight w:val="380"/>
        </w:trPr>
        <w:tc>
          <w:tcPr>
            <w:tcW w:w="6740" w:type="dxa"/>
          </w:tcPr>
          <w:p w:rsidR="00880768" w:rsidRDefault="00880768" w:rsidP="00880768">
            <w:r>
              <w:t>Strategisk energiforskning</w:t>
            </w:r>
          </w:p>
        </w:tc>
        <w:tc>
          <w:tcPr>
            <w:tcW w:w="1400" w:type="dxa"/>
          </w:tcPr>
          <w:p w:rsidR="00880768" w:rsidRDefault="00880768" w:rsidP="00880768">
            <w:r>
              <w:t>8 000</w:t>
            </w:r>
          </w:p>
        </w:tc>
        <w:tc>
          <w:tcPr>
            <w:tcW w:w="1400" w:type="dxa"/>
          </w:tcPr>
          <w:p w:rsidR="00880768" w:rsidRDefault="00880768" w:rsidP="00880768">
            <w:r>
              <w:t>8 000</w:t>
            </w:r>
          </w:p>
        </w:tc>
      </w:tr>
      <w:tr w:rsidR="00880768" w:rsidTr="00880768">
        <w:trPr>
          <w:trHeight w:val="380"/>
        </w:trPr>
        <w:tc>
          <w:tcPr>
            <w:tcW w:w="6740" w:type="dxa"/>
          </w:tcPr>
          <w:p w:rsidR="00880768" w:rsidRDefault="00880768" w:rsidP="00880768">
            <w:r>
              <w:t>Sum Energisektoren</w:t>
            </w:r>
          </w:p>
        </w:tc>
        <w:tc>
          <w:tcPr>
            <w:tcW w:w="1400" w:type="dxa"/>
          </w:tcPr>
          <w:p w:rsidR="00880768" w:rsidRDefault="00880768" w:rsidP="00880768">
            <w:r>
              <w:t>450 000</w:t>
            </w:r>
          </w:p>
        </w:tc>
        <w:tc>
          <w:tcPr>
            <w:tcW w:w="1400" w:type="dxa"/>
          </w:tcPr>
          <w:p w:rsidR="00880768" w:rsidRDefault="00880768" w:rsidP="00880768">
            <w:r>
              <w:t>470 000</w:t>
            </w:r>
          </w:p>
        </w:tc>
      </w:tr>
      <w:tr w:rsidR="00880768" w:rsidTr="00880768">
        <w:trPr>
          <w:trHeight w:val="380"/>
        </w:trPr>
        <w:tc>
          <w:tcPr>
            <w:tcW w:w="6740" w:type="dxa"/>
          </w:tcPr>
          <w:p w:rsidR="00880768" w:rsidRDefault="00880768" w:rsidP="00880768">
            <w:r>
              <w:t>Sum overføring til Norges forskningsråd</w:t>
            </w:r>
            <w:r>
              <w:rPr>
                <w:rStyle w:val="skrift-hevet"/>
                <w:sz w:val="21"/>
                <w:szCs w:val="21"/>
              </w:rPr>
              <w:t>1</w:t>
            </w:r>
          </w:p>
        </w:tc>
        <w:tc>
          <w:tcPr>
            <w:tcW w:w="1400" w:type="dxa"/>
          </w:tcPr>
          <w:p w:rsidR="00880768" w:rsidRDefault="00880768" w:rsidP="00880768">
            <w:r>
              <w:t> 769 913</w:t>
            </w:r>
          </w:p>
        </w:tc>
        <w:tc>
          <w:tcPr>
            <w:tcW w:w="1400" w:type="dxa"/>
          </w:tcPr>
          <w:p w:rsidR="00880768" w:rsidRDefault="00880768" w:rsidP="00880768">
            <w:r>
              <w:t>800 500</w:t>
            </w:r>
          </w:p>
        </w:tc>
      </w:tr>
    </w:tbl>
    <w:p w:rsidR="00880768" w:rsidRDefault="00880768" w:rsidP="008E6C94">
      <w:pPr>
        <w:pStyle w:val="tabell-noter"/>
      </w:pPr>
      <w:r>
        <w:rPr>
          <w:rStyle w:val="skrift-hevet"/>
          <w:sz w:val="17"/>
          <w:szCs w:val="17"/>
        </w:rPr>
        <w:t>1</w:t>
      </w:r>
      <w:r>
        <w:rPr>
          <w:rStyle w:val="skrift-hevet"/>
          <w:sz w:val="17"/>
          <w:szCs w:val="17"/>
        </w:rPr>
        <w:tab/>
      </w:r>
      <w:r>
        <w:rPr>
          <w:sz w:val="17"/>
          <w:szCs w:val="17"/>
        </w:rPr>
        <w:t>Norges forskningsråd disponerer i tillegg midler over Olje- og energidepartementets budsjett kap. 1840, post 50 Forskning, utvikling og demonstrasjon av CO</w:t>
      </w:r>
      <w:r>
        <w:rPr>
          <w:rStyle w:val="skrift-senket"/>
          <w:sz w:val="17"/>
          <w:szCs w:val="17"/>
        </w:rPr>
        <w:t>2</w:t>
      </w:r>
      <w:r>
        <w:rPr>
          <w:sz w:val="17"/>
          <w:szCs w:val="17"/>
        </w:rPr>
        <w:t>-håndtering.</w:t>
      </w:r>
    </w:p>
    <w:p w:rsidR="00880768" w:rsidRDefault="00880768" w:rsidP="00880768">
      <w:r>
        <w:t xml:space="preserve">Helse, miljø og sikkerhet (HMS) er en integrert del av forskningen, men blir i hovedsak finansiert over Arbeids- og sosialdepartementets budsjett. </w:t>
      </w:r>
    </w:p>
    <w:p w:rsidR="00880768" w:rsidRDefault="00880768" w:rsidP="00880768">
      <w:r>
        <w:t>Mer informasjon om programmene finnes på www.forskningsradet.no.</w:t>
      </w:r>
    </w:p>
    <w:p w:rsidR="00880768" w:rsidRDefault="00880768" w:rsidP="00880768">
      <w:pPr>
        <w:pStyle w:val="avsnitt-tittel"/>
      </w:pPr>
      <w:r>
        <w:lastRenderedPageBreak/>
        <w:t>Petroleumssektoren</w:t>
      </w:r>
    </w:p>
    <w:p w:rsidR="00880768" w:rsidRDefault="00880768" w:rsidP="00880768">
      <w:pPr>
        <w:pStyle w:val="avsnitt-undertittel"/>
      </w:pPr>
      <w:r>
        <w:t>PETROMAKS 2 – stort program for petroleumsforskning</w:t>
      </w:r>
    </w:p>
    <w:p w:rsidR="00880768" w:rsidRDefault="00880768" w:rsidP="00880768">
      <w:r>
        <w:t>Det foreslås 218,5 mill. kroner til programmet PETROMAKS 2, som støtter strategisk grunnle</w:t>
      </w:r>
      <w:r>
        <w:t>g</w:t>
      </w:r>
      <w:r>
        <w:t xml:space="preserve">gende forskning, kunnskaps- og kompetansebygging, anvendt forskning og teknologiutvikling på petroleumsområdet. PETROMAKS 2 skal bidra til å nå målsetningene som er satt i OG21-strategien samt prioriterte mål for helse, arbeidsmiljø og sikkerhet. </w:t>
      </w:r>
    </w:p>
    <w:p w:rsidR="00880768" w:rsidRDefault="00880768" w:rsidP="00880768">
      <w:r>
        <w:t>Gjennom støtte til kunnskaps- og teknologiutvikling skal programmet bidra til økt verdiskaping for samfunnet ved at norske petroleumsressurser utvikles og utnyttes effektivt innenfor miljømessig forsvarlige rammer. Programmet har fem tematiske prioriteringer:</w:t>
      </w:r>
    </w:p>
    <w:p w:rsidR="00880768" w:rsidRDefault="00880768" w:rsidP="00880768">
      <w:pPr>
        <w:pStyle w:val="Liste"/>
      </w:pPr>
      <w:r>
        <w:t>Reduksjon av klimagasser, energieffektivisering og miljø</w:t>
      </w:r>
    </w:p>
    <w:p w:rsidR="00880768" w:rsidRDefault="00880768" w:rsidP="00880768">
      <w:pPr>
        <w:pStyle w:val="Liste"/>
      </w:pPr>
      <w:r>
        <w:t>Leting og økt utvinning</w:t>
      </w:r>
    </w:p>
    <w:p w:rsidR="00880768" w:rsidRDefault="00880768" w:rsidP="00880768">
      <w:pPr>
        <w:pStyle w:val="Liste"/>
      </w:pPr>
      <w:r>
        <w:t>Boring, komplettering og intervensjon</w:t>
      </w:r>
    </w:p>
    <w:p w:rsidR="00880768" w:rsidRDefault="00880768" w:rsidP="00880768">
      <w:pPr>
        <w:pStyle w:val="Liste"/>
      </w:pPr>
      <w:r>
        <w:t>Produksjon, prosessering og transport</w:t>
      </w:r>
    </w:p>
    <w:p w:rsidR="00880768" w:rsidRDefault="00880768" w:rsidP="00880768">
      <w:pPr>
        <w:pStyle w:val="Liste"/>
      </w:pPr>
      <w:r>
        <w:t>Storulykker og arbeidsmiljø</w:t>
      </w:r>
    </w:p>
    <w:p w:rsidR="00880768" w:rsidRDefault="00880768" w:rsidP="00880768">
      <w:r>
        <w:t>Programmet har fire tverrgående prioriteringer som skal knyttes opp mot de fem temaområdene:</w:t>
      </w:r>
    </w:p>
    <w:p w:rsidR="00880768" w:rsidRDefault="00880768" w:rsidP="00880768">
      <w:pPr>
        <w:pStyle w:val="Liste"/>
      </w:pPr>
      <w:r>
        <w:t>Nordområdene</w:t>
      </w:r>
    </w:p>
    <w:p w:rsidR="00880768" w:rsidRDefault="00880768" w:rsidP="00880768">
      <w:pPr>
        <w:pStyle w:val="Liste"/>
      </w:pPr>
      <w:r>
        <w:t>Reduksjon av klimagassutslipp og energieffektivisering</w:t>
      </w:r>
    </w:p>
    <w:p w:rsidR="00880768" w:rsidRDefault="00880768" w:rsidP="00880768">
      <w:pPr>
        <w:pStyle w:val="Liste"/>
      </w:pPr>
      <w:r>
        <w:t>Digitalisering</w:t>
      </w:r>
    </w:p>
    <w:p w:rsidR="00880768" w:rsidRDefault="00880768" w:rsidP="00880768">
      <w:pPr>
        <w:pStyle w:val="Liste"/>
      </w:pPr>
      <w:r>
        <w:t>Utfordringer ved organisering, implementering og bruk av ny teknologi</w:t>
      </w:r>
    </w:p>
    <w:p w:rsidR="00880768" w:rsidRDefault="00880768" w:rsidP="00880768">
      <w:r>
        <w:t>PETROMAKS 2 vil også vektlegge utfordringer som krever tverr-/flerfaglige forskning og invo</w:t>
      </w:r>
      <w:r>
        <w:t>l</w:t>
      </w:r>
      <w:r>
        <w:t xml:space="preserve">vering av samfunnsvitenskapelige disipliner. </w:t>
      </w:r>
    </w:p>
    <w:p w:rsidR="00880768" w:rsidRDefault="00880768" w:rsidP="00880768">
      <w:r>
        <w:t>Programmet er viktig for forskerrekruttering og utvikling av fremtidens kompetanse i en petrol</w:t>
      </w:r>
      <w:r>
        <w:t>e</w:t>
      </w:r>
      <w:r>
        <w:t>umssektor som fortsatt vil ha et betydelig rekrutteringsbehov i fremtiden.</w:t>
      </w:r>
    </w:p>
    <w:p w:rsidR="00880768" w:rsidRDefault="00880768" w:rsidP="00880768">
      <w:pPr>
        <w:pStyle w:val="avsnitt-undertittel"/>
      </w:pPr>
      <w:r>
        <w:t>DEMO 2000 – prosjektrettet teknologiutvikling</w:t>
      </w:r>
    </w:p>
    <w:p w:rsidR="00880768" w:rsidRDefault="00880768" w:rsidP="00880768">
      <w:r>
        <w:t>Det foreslås 70 mill. kroner til DEMO 2000. Programmet har som formål å kvalifisere norsk te</w:t>
      </w:r>
      <w:r>
        <w:t>k</w:t>
      </w:r>
      <w:r>
        <w:t>nologi primært til bruk på norsk sokkel samt bidra til økt teknologieksport fra Norge.</w:t>
      </w:r>
    </w:p>
    <w:p w:rsidR="00880768" w:rsidRDefault="00880768" w:rsidP="00880768">
      <w:r>
        <w:t>Midlene skal bidra til å opprettholde og styrke kompetanse og kapasitet i leverandørindustrien. Programmet skal utløse nye teknologiprosjekter og vil derigjennom ha en viktig sysselsettingse</w:t>
      </w:r>
      <w:r>
        <w:t>f</w:t>
      </w:r>
      <w:r>
        <w:t>fekt. Midlene skal også bidra til at mer miljøvennlig og energieffektiv teknologi blir demonstrert. Dette kan gi reduserte utslipp og mer kostnadseffektiv utnyttelse av petroleumsressursene.</w:t>
      </w:r>
    </w:p>
    <w:p w:rsidR="00880768" w:rsidRDefault="00880768" w:rsidP="00880768">
      <w:r>
        <w:t>DEMO 2000 skal bidra til å kommersialisere ny teknologi gjennom støtte til kvalifisering av te</w:t>
      </w:r>
      <w:r>
        <w:t>k</w:t>
      </w:r>
      <w:r>
        <w:t>nologier og gjennomføring av pilot- og demonstrasjonsprosjekter. En viktig forutsetning for å oppnå økt utvinning av olje og gass, mer miljøvennlig produksjon samt reduserte lete- og utvi</w:t>
      </w:r>
      <w:r>
        <w:t>n</w:t>
      </w:r>
      <w:r>
        <w:t>ningskostnader, er at industrien tar i bruk ny teknologi og tester ut nye løsninger. Erfaringsmessig er dette en utfordring fordi uttesting av ny teknologi er forbundet med høye kostnader og høy ris</w:t>
      </w:r>
      <w:r>
        <w:t>i</w:t>
      </w:r>
      <w:r>
        <w:t>ko. Offentlig støtte gjennom DEMO 2000 bidrar til å utløse slike prosjekter. DEMO 2000 bistår også norske leverandør-/servicebedrifter og forskningsinstitutter med å gjennomføre piloter på utenlandsk sokkel, der dette kan hjelpe bedriftene med kvalifisering av ny teknologi og raskere kommersialisering i et globalt offshoremarked. Teknologien som testes ut må være relevant for norsk sokkel.</w:t>
      </w:r>
    </w:p>
    <w:p w:rsidR="00880768" w:rsidRDefault="00880768" w:rsidP="00880768">
      <w:pPr>
        <w:pStyle w:val="avsnitt-undertittel"/>
      </w:pPr>
      <w:r>
        <w:lastRenderedPageBreak/>
        <w:t>Forskningssentre for petroleumsvirksomhet</w:t>
      </w:r>
    </w:p>
    <w:p w:rsidR="00880768" w:rsidRDefault="00880768" w:rsidP="00880768">
      <w:r>
        <w:t>Det foreslås totalt 30 mill. kroner til de to eksisterende forskningssentrene for henholdsvis arktiske utfordringer og økt oljeutvinning på norsk sokkel, samt til nytt senter for lavutslippsteknologi. Senterordningen for petroleumsforskning (PETROSENTER) skal bidra til kompetansebygging og forskning av høy kvalitet innenfor sentrenes temaområder. Et PETROSENTER kjennetegnes ved en konsentrert, fokusert og langsiktig forskningsinnsats på høyt internasjonalt nivå for å løse u</w:t>
      </w:r>
      <w:r>
        <w:t>t</w:t>
      </w:r>
      <w:r>
        <w:t xml:space="preserve">pekte utfordringer for forvaltning og verdiskaping av de norske petroleumsressursene. </w:t>
      </w:r>
    </w:p>
    <w:p w:rsidR="00880768" w:rsidRDefault="00880768" w:rsidP="00880768">
      <w:pPr>
        <w:pStyle w:val="avsnitt-under-undertittel"/>
      </w:pPr>
      <w:r>
        <w:t>Forsknings- og kompetansesenter for petroleumsvirksomhet i nordområdene og Arktis</w:t>
      </w:r>
    </w:p>
    <w:p w:rsidR="00880768" w:rsidRDefault="00880768" w:rsidP="00880768">
      <w:r>
        <w:t>Forskningssenteret ARCEx er lokalisert i Tromsø og har som mål å fremskaffe ny kunnskap om petroleumsressursene i Arktis og utvikle nødvendig kunnskap og metodikk for miljøvennlig leting. Universitetet i Tromsø er vertsinstitusjon og samarbeider tett med petroleumsindustrien og nasj</w:t>
      </w:r>
      <w:r>
        <w:t>o</w:t>
      </w:r>
      <w:r>
        <w:t>nale og internasjonale forskningsmiljøer. Ordningen skal også styrke tilbudet for master- og do</w:t>
      </w:r>
      <w:r>
        <w:t>k</w:t>
      </w:r>
      <w:r>
        <w:t xml:space="preserve">torgradsutdanning. </w:t>
      </w:r>
    </w:p>
    <w:p w:rsidR="00880768" w:rsidRDefault="00880768" w:rsidP="00880768">
      <w:pPr>
        <w:pStyle w:val="avsnitt-under-undertittel"/>
      </w:pPr>
      <w:r>
        <w:t>Forskningssenter for økt oljeutvinning på norsk kontinentalsokkel</w:t>
      </w:r>
    </w:p>
    <w:p w:rsidR="00880768" w:rsidRDefault="00880768" w:rsidP="00880768">
      <w:r>
        <w:t>National IOR Centre er lokalisert i Stavanger og har som mål å utvikle kunnskap, kompetanse og teknologi for utvikling og drift av reservoarer på norsk sokkel for å oppnå en høyere utvinning</w:t>
      </w:r>
      <w:r>
        <w:t>s</w:t>
      </w:r>
      <w:r>
        <w:t>grad enn det som ligger i dagens vedtatte planer. Dagens vedtatte planer gir en gjennomsnittlig forventet utvinningsgrad på 46 prosent for olje og 70 prosent for gass på norsk sokkel. Selv en b</w:t>
      </w:r>
      <w:r>
        <w:t>e</w:t>
      </w:r>
      <w:r>
        <w:t>skjeden økning i gjennomsnittlig utvinningsgrad for norsk sokkel vil kunne utløse store verdier for samfunnet. Universitetet i Stavanger er vert for senteret og samarbeider tett med IRIS og IFE. Se</w:t>
      </w:r>
      <w:r>
        <w:t>n</w:t>
      </w:r>
      <w:r>
        <w:t>teret skal videre samarbeide med industrien slik at nye løsninger raskt kan tas i bruk. Forbedring av eksisterende og utvikling av ny utvinningsmetodikk er sentrale satsingsområder.</w:t>
      </w:r>
    </w:p>
    <w:p w:rsidR="00880768" w:rsidRDefault="00880768" w:rsidP="00880768">
      <w:pPr>
        <w:pStyle w:val="avsnitt-under-undertittel"/>
      </w:pPr>
      <w:r>
        <w:t>Forskningssenter for lavutslippsteknologi for petroleumsvirksomheten på norsk sokkel</w:t>
      </w:r>
    </w:p>
    <w:p w:rsidR="00880768" w:rsidRDefault="00880768" w:rsidP="00880768">
      <w:r>
        <w:t>Målet med senteret er å utvikle lavutslipps- eller nullutslippsteknologi som muliggjør at fremtidig utbygging og drift av petroleumsforekomster kan skje med lavest mulige utslipp av klimagasser. Senteret skal også utvikle teknologi som kan bidra til en betydelig reduksjon av utslipp fra eksist</w:t>
      </w:r>
      <w:r>
        <w:t>e</w:t>
      </w:r>
      <w:r>
        <w:t xml:space="preserve">rende petroleumsinnretninger/installasjoner. </w:t>
      </w:r>
    </w:p>
    <w:p w:rsidR="00880768" w:rsidRDefault="00880768" w:rsidP="00880768">
      <w:r>
        <w:t>Senteret er utlyst og vil bli tildelt innen utgangen av 2018, eventuelt tidlig i 2019.</w:t>
      </w:r>
    </w:p>
    <w:p w:rsidR="00880768" w:rsidRDefault="00880768" w:rsidP="00880768">
      <w:pPr>
        <w:pStyle w:val="avsnitt-undertittel"/>
      </w:pPr>
      <w:r>
        <w:t>MARINFORSK – Marine ressurser og miljø</w:t>
      </w:r>
    </w:p>
    <w:p w:rsidR="00880768" w:rsidRDefault="00880768" w:rsidP="00880768">
      <w:r>
        <w:t>Det foreslås 5,5 mill. kroner til programmet. Målet med programmet er å framskaffe økt kunnskap om langtidseffekter av petroleumsvirksomhetens utslipp. Kunnskapen er nødvendig for at my</w:t>
      </w:r>
      <w:r>
        <w:t>n</w:t>
      </w:r>
      <w:r>
        <w:t>dighetene skal kunne styre utviklingen i virksomheten og samordne utnyttelsen av olje- og gas</w:t>
      </w:r>
      <w:r>
        <w:t>s</w:t>
      </w:r>
      <w:r>
        <w:t>ressursene med annen bruk og vern av havmiljøet. Det er sentralt at den samlede påvirkningen av havmiljøet ikke skal føre til vesentlige negative effekter på marine organismer.</w:t>
      </w:r>
    </w:p>
    <w:p w:rsidR="00880768" w:rsidRDefault="00880768" w:rsidP="00880768">
      <w:pPr>
        <w:pStyle w:val="avsnitt-undertittel"/>
      </w:pPr>
      <w:r>
        <w:t>Strategisk petroleumsforskning</w:t>
      </w:r>
    </w:p>
    <w:p w:rsidR="00880768" w:rsidRDefault="00880768" w:rsidP="00880768">
      <w:r>
        <w:t>Det foreslås 2,5 mill. kroner til sjøfuglprogrammet SEAPOP (Seabird Population Management and Petroleum Operations). Programmet skal gi bedre kunnskap om utbredelse, tilstand og utvikling av norske sjøfuglbestander i lys av menneskelig aktivitet i havområdene og kystsonen, blant annet innenfor petroleumsvirksomheten.</w:t>
      </w:r>
    </w:p>
    <w:p w:rsidR="00880768" w:rsidRDefault="00880768" w:rsidP="00880768">
      <w:r>
        <w:lastRenderedPageBreak/>
        <w:t>Videre foreslås 3 mill. kroner til The International Ocean Discovery Program (IODP), et intern</w:t>
      </w:r>
      <w:r>
        <w:t>a</w:t>
      </w:r>
      <w:r>
        <w:t>sjonalt, maringeologisk forskningsprogram rettet blant annet mot forskning i arktiske områder, og 1 mill. kroner til ordningen «Fri prosjektstøtte» knyttet til matematikk, naturvitenskap og teknologi.</w:t>
      </w:r>
    </w:p>
    <w:p w:rsidR="00880768" w:rsidRDefault="00880768" w:rsidP="00880768">
      <w:pPr>
        <w:pStyle w:val="avsnitt-tittel"/>
      </w:pPr>
      <w:r>
        <w:t>Energisektoren</w:t>
      </w:r>
    </w:p>
    <w:p w:rsidR="00880768" w:rsidRDefault="00880768" w:rsidP="00880768">
      <w:pPr>
        <w:pStyle w:val="avsnitt-undertittel"/>
      </w:pPr>
      <w:r>
        <w:t>ENERGIX – Stort program energi</w:t>
      </w:r>
    </w:p>
    <w:p w:rsidR="00880768" w:rsidRDefault="00880768" w:rsidP="00880768">
      <w:r>
        <w:t>Det foreslås 285 mill. kroner til ENERGIX. Programmet skal bidra til:</w:t>
      </w:r>
    </w:p>
    <w:p w:rsidR="00880768" w:rsidRDefault="00880768" w:rsidP="00880768">
      <w:pPr>
        <w:pStyle w:val="Liste"/>
      </w:pPr>
      <w:r>
        <w:t>Bærekraftig utnyttelse og bruk av de fornybare energiressursene</w:t>
      </w:r>
    </w:p>
    <w:p w:rsidR="00880768" w:rsidRDefault="00880768" w:rsidP="00880768">
      <w:pPr>
        <w:pStyle w:val="Liste"/>
      </w:pPr>
      <w:r>
        <w:t>Reduksjon av norske og globale klimagassutslipp</w:t>
      </w:r>
    </w:p>
    <w:p w:rsidR="00880768" w:rsidRDefault="00880768" w:rsidP="00880768">
      <w:pPr>
        <w:pStyle w:val="Liste"/>
      </w:pPr>
      <w:r>
        <w:t>Styrket nasjonal forsyningssikkerhet</w:t>
      </w:r>
    </w:p>
    <w:p w:rsidR="00880768" w:rsidRDefault="00880768" w:rsidP="00880768">
      <w:pPr>
        <w:pStyle w:val="Liste"/>
      </w:pPr>
      <w:r>
        <w:t>Styrking av innovasjon i næringslivet og offentlig sektor</w:t>
      </w:r>
    </w:p>
    <w:p w:rsidR="00880768" w:rsidRDefault="00880768" w:rsidP="00880768">
      <w:pPr>
        <w:pStyle w:val="Liste"/>
      </w:pPr>
      <w:r>
        <w:t xml:space="preserve">Videreutvikling av norske forsknings- og utdanningsmiljøer </w:t>
      </w:r>
    </w:p>
    <w:p w:rsidR="00880768" w:rsidRDefault="00880768" w:rsidP="00880768">
      <w:pPr>
        <w:pStyle w:val="tittel-ramme"/>
      </w:pPr>
      <w:r>
        <w:t>PILOT-E – Raskere fra idé til marked</w:t>
      </w:r>
    </w:p>
    <w:p w:rsidR="00880768" w:rsidRDefault="00880768" w:rsidP="00880768">
      <w:r>
        <w:t>PILOT-E er et virkemiddel for å få teknologi som kan redusere utslippene av klimagasser og sa</w:t>
      </w:r>
      <w:r>
        <w:t>m</w:t>
      </w:r>
      <w:r>
        <w:t xml:space="preserve">tidig øke verdiskapingen, raskere ut i markedet. Det er et samarbeid mellom Norges forskningsråd, Innovasjon Norge og Enova, som ble startet i 2015 for å støtte energiteknologiprosjekter gjennom hele utviklingsløpet fra idé til marked. PILOT-E effektiviserer på denne måten utvikling av nye løsninger gjennom å samkjøre finansieringen fra virkemiddelapparatet. En slik modell gir bedre forutsigbarhet, tettere oppfølging og sterkere koordinering. Målet med ordningen er at helt nye produkter og tjenester innenfor miljøvennlig energiteknologi skal bli raskere utviklet og tatt i bruk for å bidra til byggingen av lavutslippssamfunnet, både i Norge og internasjonalt. </w:t>
      </w:r>
    </w:p>
    <w:p w:rsidR="00880768" w:rsidRDefault="00880768" w:rsidP="00880768">
      <w:r>
        <w:t>Det første fartøyet fra den første utlysningen om utslippsfri maritim transport er allerede sjøsatt. Det er den helelektriske passasjerfergen «Future of the fjords».</w:t>
      </w:r>
    </w:p>
    <w:p w:rsidR="00880768" w:rsidRDefault="00880768">
      <w:pPr>
        <w:pStyle w:val="Ramme-slutt"/>
        <w:rPr>
          <w:sz w:val="26"/>
          <w:szCs w:val="26"/>
        </w:rPr>
      </w:pPr>
      <w:r>
        <w:rPr>
          <w:sz w:val="26"/>
          <w:szCs w:val="26"/>
        </w:rPr>
        <w:t>Rammeslutt</w:t>
      </w:r>
    </w:p>
    <w:p w:rsidR="00880768" w:rsidRDefault="00880768" w:rsidP="00880768">
      <w:r>
        <w:t>ENERGIX skal bidra til å nå målsetningene som er satt i Energi21-strategien og karakteriseres av et tett samspill mellom næringsliv, akademia og myndighetene. Programmet støtter forskning på fornybar energi, effektiv energibruk, energisystem og energipolitikk, inklusive forskning på milj</w:t>
      </w:r>
      <w:r>
        <w:t>ø</w:t>
      </w:r>
      <w:r>
        <w:t>vennlig energi i transport. Virkemidlene inkluderer støtte til forskerprosjekter, kompetanseprosje</w:t>
      </w:r>
      <w:r>
        <w:t>k</w:t>
      </w:r>
      <w:r>
        <w:t>ter og innovasjonsprosjekter, og støtte til medvirkning i internasjonale fora og programmer, i første rekke rettet mot EU. ENERGIX samarbeider og koordinerer sine aktiviteter med Forskningssen</w:t>
      </w:r>
      <w:r>
        <w:t>t</w:t>
      </w:r>
      <w:r>
        <w:t xml:space="preserve">rene for miljøvennlig energi (FME) samt andre relevante forskningsprogrammer. </w:t>
      </w:r>
    </w:p>
    <w:p w:rsidR="00880768" w:rsidRDefault="00880768" w:rsidP="00880768">
      <w:r>
        <w:t>ENERGIX samarbeider også med Enova og Innovasjon Norge for å sikre et mest mulig helhetlig og sømløst virkemiddelapparat. Disse aktørene vil i 2019 videreføre virkemiddelet PILOT-E, som skal påskynde utviklingen av miljøvennlig energiteknologi i Norge. Så langt har det vært utly</w:t>
      </w:r>
      <w:r>
        <w:t>s</w:t>
      </w:r>
      <w:r>
        <w:t>ninger innenfor temaene utslippsfri maritim transport (2016), utslippsfri nyttetransport på land og fremtidens digitaliserte energisystem (2017) og utslippsfri maritim transport 2.0 og fremtidens kl</w:t>
      </w:r>
      <w:r>
        <w:t>i</w:t>
      </w:r>
      <w:r>
        <w:t>manøytrale industri (2018).</w:t>
      </w:r>
    </w:p>
    <w:p w:rsidR="00880768" w:rsidRDefault="00880768" w:rsidP="00880768">
      <w:pPr>
        <w:pStyle w:val="avsnitt-undertittel"/>
      </w:pPr>
      <w:r>
        <w:t xml:space="preserve">Forskningssentre for miljøvennlig energi </w:t>
      </w:r>
    </w:p>
    <w:p w:rsidR="00880768" w:rsidRDefault="00880768" w:rsidP="00880768">
      <w:r>
        <w:t>Det foreslås 177 mill. kroner til Forskningssentre for miljøvennlig energi (FME), som er en må</w:t>
      </w:r>
      <w:r>
        <w:t>l</w:t>
      </w:r>
      <w:r>
        <w:t>rettet og langsiktig satsing på forskning og innovasjon innenfor fornybar energi, energibruk, ene</w:t>
      </w:r>
      <w:r>
        <w:t>r</w:t>
      </w:r>
      <w:r>
        <w:t>gisystem, energi til transport, CO</w:t>
      </w:r>
      <w:r>
        <w:rPr>
          <w:rStyle w:val="skrift-senket"/>
          <w:sz w:val="21"/>
          <w:szCs w:val="21"/>
        </w:rPr>
        <w:t>2</w:t>
      </w:r>
      <w:r>
        <w:t xml:space="preserve">-håndtering og samfunnsvitenskap. Forskningen skal skje i et tett samarbeid mellom forskningsmiljøer, næringsliv og forvaltning. FME-ene kan ha en varighet på inntil åtte år, men vurderes etter fem års virksomhet. </w:t>
      </w:r>
    </w:p>
    <w:p w:rsidR="00880768" w:rsidRDefault="00880768" w:rsidP="00880768">
      <w:r>
        <w:lastRenderedPageBreak/>
        <w:t>Sentrene er satt sammen av sterke forskningsmiljøer og et stort antall brukerpartnere fra næringsl</w:t>
      </w:r>
      <w:r>
        <w:t>i</w:t>
      </w:r>
      <w:r>
        <w:t>vet og offentlig forvaltning. Brukerpartnere skal delta aktivt i senterets styring, finansiering og forskning. Forskningen i sentrene skal ligge på et høyt faglig nivå og styrke innovasjonsevnen i næringslivet. FME-ordningen skal også stimulere til utdanning av forskere og internasjonalt fors</w:t>
      </w:r>
      <w:r>
        <w:t>k</w:t>
      </w:r>
      <w:r>
        <w:t>ningssamarbeid på energiområdet.</w:t>
      </w:r>
    </w:p>
    <w:p w:rsidR="00880768" w:rsidRDefault="00880768" w:rsidP="00880768">
      <w:r>
        <w:t>Det er åtte teknologisk rettede FME-er i drift innenfor områdene CO</w:t>
      </w:r>
      <w:r>
        <w:rPr>
          <w:rStyle w:val="skrift-senket"/>
          <w:sz w:val="21"/>
          <w:szCs w:val="21"/>
        </w:rPr>
        <w:t>2</w:t>
      </w:r>
      <w:r>
        <w:t>-håndtering, vannkraft, bi</w:t>
      </w:r>
      <w:r>
        <w:t>o</w:t>
      </w:r>
      <w:r>
        <w:t>drivstoff, smarte energisystemer, energieffektivisering i industrien, solceller, nullutslipp i transport og nullutslippsområder i smarte byer. I tillegg er det tre samfunnsvitenskapelige FME-er som skal bidra til å løse utfordringer i energi- og klimapolitikken.</w:t>
      </w:r>
    </w:p>
    <w:p w:rsidR="00880768" w:rsidRDefault="00880768" w:rsidP="00880768">
      <w:pPr>
        <w:pStyle w:val="avsnitt-undertittel"/>
      </w:pPr>
      <w:r>
        <w:t>Strategisk energiforskning</w:t>
      </w:r>
    </w:p>
    <w:p w:rsidR="00880768" w:rsidRDefault="00880768" w:rsidP="00880768">
      <w:r>
        <w:t>Det foreslås 6,5 mill. kroner til prosjektetableringsstøtte gjennom PES2020-ordningen, som skal styrke norske forsknings- og teknologimiljøers deltakelse i EUs forsknings- og innovasjonspr</w:t>
      </w:r>
      <w:r>
        <w:t>o</w:t>
      </w:r>
      <w:r>
        <w:t xml:space="preserve">gram Horisont 2020. </w:t>
      </w:r>
    </w:p>
    <w:p w:rsidR="00880768" w:rsidRDefault="00880768" w:rsidP="00880768">
      <w:r>
        <w:t xml:space="preserve">Det foreslås 1,5 mill. kroner til Nordisk institutt for sjøretts strategiske universitetsprogram om energirett, med fokus på regulering av kraftmarkedet. Hovedmålet er kompetanseoppbygging og forskning innenfor alle rettsspørsmål med tilknytning til energisektoren. </w:t>
      </w:r>
    </w:p>
    <w:p w:rsidR="00880768" w:rsidRDefault="00880768" w:rsidP="00880768">
      <w:pPr>
        <w:pStyle w:val="avsnitt-tittel"/>
      </w:pPr>
      <w:r>
        <w:t>Resultatrapport 2017</w:t>
      </w:r>
    </w:p>
    <w:p w:rsidR="00880768" w:rsidRDefault="00880768" w:rsidP="00880768">
      <w:pPr>
        <w:pStyle w:val="avsnitt-undertittel"/>
      </w:pPr>
      <w:r>
        <w:t>Petroleumssektoren</w:t>
      </w:r>
    </w:p>
    <w:p w:rsidR="00880768" w:rsidRDefault="00880768" w:rsidP="00880768">
      <w:pPr>
        <w:pStyle w:val="avsnitt-under-undertittel"/>
      </w:pPr>
      <w:r>
        <w:t>PETROMAKS 2</w:t>
      </w:r>
    </w:p>
    <w:p w:rsidR="00880768" w:rsidRDefault="00880768" w:rsidP="00880768">
      <w:r>
        <w:t>Programmet finansierte 128 prosjekter i 2017 og utløste betydelig privat finansiering av forskning, også innen universitets- og høyskolesektoren (UoH) og instituttsektoren. PETROMAKS 2 bidro også til å styrke omstillingsevnen i petroleumsnæringen ved å vektlegge forskerutdanning. Det var en svak nedgang i antall vitenskapelige publikasjoner i 2017 sammenlignet med 2016, men antallet ligger likevel høyt sammenlignet med tidligere år i programperioden. Programmet kan vise til en sterk økning i innovasjonsresultatene fra prosjektene i 2017 sammenlignet med tidligere.</w:t>
      </w:r>
    </w:p>
    <w:p w:rsidR="00880768" w:rsidRDefault="00880768" w:rsidP="00880768">
      <w:r>
        <w:t>Prosjektporteføljen viser en god tematisk og geografisk fordeling, og mange av prosjektene arbe</w:t>
      </w:r>
      <w:r>
        <w:t>i</w:t>
      </w:r>
      <w:r>
        <w:t>der med problemstillinger med relevans for Klimaforliket. Programmets bevilgning til disse pr</w:t>
      </w:r>
      <w:r>
        <w:t>o</w:t>
      </w:r>
      <w:r>
        <w:t xml:space="preserve">sjektene var 91 mill. kroner i 2017. Mange av søknadene hadde en høy relevans for programmets tverrgående prioritering </w:t>
      </w:r>
      <w:r>
        <w:rPr>
          <w:rStyle w:val="kursiv"/>
          <w:sz w:val="21"/>
          <w:szCs w:val="21"/>
        </w:rPr>
        <w:t>digitalisering</w:t>
      </w:r>
      <w:r>
        <w:t>. Som tidligere år, deltok programmet også i Havteknologisa</w:t>
      </w:r>
      <w:r>
        <w:t>t</w:t>
      </w:r>
      <w:r>
        <w:t xml:space="preserve">singen for å sikre kompetanse- og teknologioverføring til og fra petroleumsnæringen. </w:t>
      </w:r>
    </w:p>
    <w:p w:rsidR="00880768" w:rsidRDefault="00880768" w:rsidP="00880768">
      <w:r>
        <w:t>I 2017 var det, som tidligere år, skarp konkurranse om tilgjengelige midler. Programmet har tildelt støtte til en rekke Forskerprosjekter (FP) av meget høy vitenskapelig kvalitet, og det er forventet at disse vil bidra til å styrke kunnskapsfronten på sine fagområder. Av de tildelte prosjektene hos n</w:t>
      </w:r>
      <w:r>
        <w:t>æ</w:t>
      </w:r>
      <w:r>
        <w:t>ringslivet, fikk over 90 prosent av prosjektene karakteren seks eller syv (hvor syv er best) på krit</w:t>
      </w:r>
      <w:r>
        <w:t>e</w:t>
      </w:r>
      <w:r>
        <w:t>riet innovasjonsgrad. Resultatene tyder på at norsk sokkel fortsatt vil få tilført stadig bedre kun</w:t>
      </w:r>
      <w:r>
        <w:t>n</w:t>
      </w:r>
      <w:r>
        <w:t>skap og teknologiske løsninger.</w:t>
      </w:r>
    </w:p>
    <w:p w:rsidR="00880768" w:rsidRDefault="00880768" w:rsidP="00880768">
      <w:r>
        <w:t xml:space="preserve">Programmet har også gjennomført og deltatt i målrettede fellesutlysninger med prioriterte land, som med det russiske grunnforskningsfondet (RFBR). Målet var å stimulere til norsk-russisk forskningssamarbeid om felles utfordringer for petroleumsvirksomhet i Barentshavet. Programmet har også hatt gjennomslag i et felleseuropeisk forskningssamarbeid innenfor havteknologi: ERA-Net Cofund, MarTERA. Søknadene som har mottatt støtte bekrefter at norske FoU-miljøer i </w:t>
      </w:r>
      <w:r>
        <w:lastRenderedPageBreak/>
        <w:t>petroleumssektoren har en sterk posisjon innenfor sensorer, automasjon, overvåking og observ</w:t>
      </w:r>
      <w:r>
        <w:t>a</w:t>
      </w:r>
      <w:r>
        <w:t>sjoner.</w:t>
      </w:r>
    </w:p>
    <w:p w:rsidR="00880768" w:rsidRDefault="00880768" w:rsidP="00880768">
      <w:r>
        <w:t>I overkant av 70 prosent av aktive prosjekter i 2017 ble gjennomført av aktører fra UoH- og inst</w:t>
      </w:r>
      <w:r>
        <w:t>i</w:t>
      </w:r>
      <w:r>
        <w:t>tuttsektoren. Over halvparten av disse ble gjennomført med finansering fra industripartnere, i ti</w:t>
      </w:r>
      <w:r>
        <w:t>l</w:t>
      </w:r>
      <w:r>
        <w:t xml:space="preserve">legg til finansieringen fra PETROMAKS 2. De resterende prosjektene ble gjennomført av bedrifter, både med og uten samarbeid med forskningsinstitusjoner. Denne fordelingen sikrer god overføring av kompetanse og kunnskap mellom universiteter/institutter og næringslivet. </w:t>
      </w:r>
    </w:p>
    <w:p w:rsidR="00880768" w:rsidRDefault="00880768" w:rsidP="00880768">
      <w:r>
        <w:t>Kvantifiserbare resultater for 2017:</w:t>
      </w:r>
    </w:p>
    <w:p w:rsidR="00880768" w:rsidRDefault="00880768" w:rsidP="00880768">
      <w:pPr>
        <w:pStyle w:val="Liste"/>
      </w:pPr>
      <w:r>
        <w:t>Antall prosjekter: 128</w:t>
      </w:r>
    </w:p>
    <w:p w:rsidR="00880768" w:rsidRDefault="00880768" w:rsidP="00880768">
      <w:pPr>
        <w:pStyle w:val="Liste"/>
      </w:pPr>
      <w:r>
        <w:t>Antall søkte patenter: 6</w:t>
      </w:r>
    </w:p>
    <w:p w:rsidR="00880768" w:rsidRDefault="00880768" w:rsidP="00880768">
      <w:pPr>
        <w:pStyle w:val="Liste"/>
      </w:pPr>
      <w:r>
        <w:t>Antall nye/forbedrete produkter, prosesser og tjenester: 33</w:t>
      </w:r>
    </w:p>
    <w:p w:rsidR="00880768" w:rsidRDefault="00880768" w:rsidP="00880768">
      <w:pPr>
        <w:pStyle w:val="Liste"/>
      </w:pPr>
      <w:r>
        <w:t>Antall nye/forbedrete metoder, modeller og prototyper: 101</w:t>
      </w:r>
    </w:p>
    <w:p w:rsidR="00880768" w:rsidRDefault="00880768" w:rsidP="00880768">
      <w:pPr>
        <w:pStyle w:val="tittel-ramme"/>
      </w:pPr>
      <w:r>
        <w:t>Prosjekteksempel Elektrisk stenging av produksjonsbrønner på ha</w:t>
      </w:r>
      <w:r>
        <w:t>v</w:t>
      </w:r>
      <w:r>
        <w:t>bunnen</w:t>
      </w:r>
    </w:p>
    <w:p w:rsidR="00880768" w:rsidRDefault="00880768" w:rsidP="00880768">
      <w:r>
        <w:t>Aker Solutions</w:t>
      </w:r>
      <w:r>
        <w:rPr>
          <w:rStyle w:val="halvfet0"/>
          <w:sz w:val="21"/>
          <w:szCs w:val="21"/>
        </w:rPr>
        <w:t xml:space="preserve"> </w:t>
      </w:r>
      <w:r>
        <w:t>og en rekke samarbeidspartnere utvikler elektriske systemer drevet av batterier som kan stenge olje- og gassproduksjonsbrønner på havbunnen like sikkert, men mer energieffektivt og billigere enn tradisjonelle hydrauliske løsninger. Systemet kan gi kostnadsbesparelse på opptil 40 prosent for operatørene. Utover lavere energiforbruk, vil risikoen for lekkasje av hydraulikkvæsker bli eliminert. Teknologien vil også gi lavere risiko for storulykker på norsk sokkel gjennom kont</w:t>
      </w:r>
      <w:r>
        <w:t>i</w:t>
      </w:r>
      <w:r>
        <w:t>nuerlig overvåking.</w:t>
      </w:r>
    </w:p>
    <w:p w:rsidR="00880768" w:rsidRDefault="00880768">
      <w:pPr>
        <w:pStyle w:val="Ramme-slutt"/>
        <w:rPr>
          <w:sz w:val="26"/>
          <w:szCs w:val="26"/>
        </w:rPr>
      </w:pPr>
      <w:r>
        <w:rPr>
          <w:sz w:val="26"/>
          <w:szCs w:val="26"/>
        </w:rPr>
        <w:t>Rammeslutt</w:t>
      </w:r>
    </w:p>
    <w:p w:rsidR="00880768" w:rsidRDefault="00880768" w:rsidP="00880768">
      <w:pPr>
        <w:pStyle w:val="avsnitt-under-undertittel"/>
      </w:pPr>
      <w:r>
        <w:t>DEMO 2000</w:t>
      </w:r>
    </w:p>
    <w:p w:rsidR="00880768" w:rsidRDefault="00880768" w:rsidP="00880768">
      <w:r>
        <w:t>I 2017 ble det gitt en tilleggsbevilgning på 67 mill. kroner som en del av tiltakspakken for økt sy</w:t>
      </w:r>
      <w:r>
        <w:t>s</w:t>
      </w:r>
      <w:r>
        <w:t>selsetting. Vestlandet og Sørlandet var særlig rammet av aktivitetsnedgang den lavere oljeprisen medførte. Leverandørindustriens tyngdepunkt ligger i disse landsdelene, noe som gjør DEMO 2000 til et godt instrument til å målrette forskningsmidler til de berørte fylkene. I 2017 mottok pr</w:t>
      </w:r>
      <w:r>
        <w:t>o</w:t>
      </w:r>
      <w:r>
        <w:t>grammet 74 kvalifiserte søknader på totalt 458 mill. kroner. Det ble tildelt til sammen 139 mill. kroner fordelt på 24 prosjekter. Av dette gikk 85 mill. kroner til 13 prosjekter på Vestlandet og Sørlandet. Total verdi for de 24 prosjektene som fikk innvilget støtte var 740 mill. kroner. Pr</w:t>
      </w:r>
      <w:r>
        <w:t>o</w:t>
      </w:r>
      <w:r>
        <w:t>sjektporteføljen for programmet var ved utgangen av 2017 på 79 aktive prosjekter, hvorav halvpa</w:t>
      </w:r>
      <w:r>
        <w:t>r</w:t>
      </w:r>
      <w:r>
        <w:t>ten av prosjektene ligger på Vestlandet og Sørlandet. Prosjektporteføljen har en samlet innvilget støtte på 461 mill. kroner, mens totalverdi for prosjektene er 2 276 mill. kroner. Det vil si at DEMO 2000 har hatt et stort nedslagsfelt på Vestlandet og Sørlandet, og at programmet utløste betydelig private midler fra markedet til tross for lav aktivitet og nedskjæringer i petroleumsnæringen.</w:t>
      </w:r>
    </w:p>
    <w:p w:rsidR="00880768" w:rsidRDefault="00880768" w:rsidP="00880768">
      <w:r>
        <w:t>I 2017 ble det benyttet 30 mill. kroner til utvikling av teknologi til bruk i nordområdene, hvorav 15 mill. kroner ble bevilget over Utenriksdepartementets budsjett. Totalt tildelte DEMO 2000 61 mill. kroner til slike prosjekter i 2017.</w:t>
      </w:r>
    </w:p>
    <w:p w:rsidR="00880768" w:rsidRDefault="00880768" w:rsidP="00880768">
      <w:r>
        <w:t>Prosjektporteføljen er fordelt på OG21-strategiens fire tematiske områder. Det minste tematiske området er energieffektivitet og miljø, men øker i omfang. Samtidig er prosjekter innenfor de andre tematiske områdene også relevant for reduksjon av klima- og miljøpåvirkning. For eksempel rettes et stort antall prosjekter innen det største tematiske området i DEMO 2000, prosjekter relatert til produksjon, prosessering og transport, mot elektrifisering og undervannsteknologi. Dette er viktige prosjekter for å kunne realisere utslippsfri produksjon av olje og gass.</w:t>
      </w:r>
    </w:p>
    <w:p w:rsidR="00880768" w:rsidRDefault="00880768" w:rsidP="00880768">
      <w:r>
        <w:t>Kvantifiserbare resultater for 2017:</w:t>
      </w:r>
    </w:p>
    <w:p w:rsidR="00880768" w:rsidRDefault="00880768" w:rsidP="00880768">
      <w:pPr>
        <w:pStyle w:val="Liste"/>
      </w:pPr>
      <w:r>
        <w:lastRenderedPageBreak/>
        <w:t>Antall prosjekter: 79</w:t>
      </w:r>
    </w:p>
    <w:p w:rsidR="00880768" w:rsidRDefault="00880768" w:rsidP="00880768">
      <w:pPr>
        <w:pStyle w:val="Liste"/>
      </w:pPr>
      <w:r>
        <w:t>Antall søkte patenter: 38</w:t>
      </w:r>
    </w:p>
    <w:p w:rsidR="00880768" w:rsidRDefault="00880768" w:rsidP="00880768">
      <w:pPr>
        <w:pStyle w:val="Liste"/>
      </w:pPr>
      <w:r>
        <w:t>Antall nye/forbedrete produkter, prosesser og tjenester: 46</w:t>
      </w:r>
    </w:p>
    <w:p w:rsidR="00880768" w:rsidRDefault="00880768" w:rsidP="00880768">
      <w:pPr>
        <w:pStyle w:val="Liste"/>
      </w:pPr>
      <w:r>
        <w:t>Antall nye/forbedrete metoder, modeller og prototyper: 43</w:t>
      </w:r>
    </w:p>
    <w:p w:rsidR="00880768" w:rsidRDefault="00880768" w:rsidP="00880768">
      <w:pPr>
        <w:pStyle w:val="tittel-ramme"/>
      </w:pPr>
      <w:r>
        <w:t>Prosjekteksempel Kunstig intelligens bidrar til optimal produksjon</w:t>
      </w:r>
    </w:p>
    <w:p w:rsidR="00880768" w:rsidRDefault="00880768" w:rsidP="00880768">
      <w:r>
        <w:t>Stor tilgang på kontinuerlig informasjon fra sensorer kombinert med stadig kraftigere prosessorer gir nye muligheter for digitalisering på norsk sokkel. Solution Seeker har utviklet et sof</w:t>
      </w:r>
      <w:r>
        <w:t>t</w:t>
      </w:r>
      <w:r>
        <w:t>ware-program kalt Production Compass AI, som utnytter store mengder data fra sensorer i oljefe</w:t>
      </w:r>
      <w:r>
        <w:t>l</w:t>
      </w:r>
      <w:r>
        <w:t>tet, og som er det første datadrevne beslutningsstøttesystemet som anvender kunstig intelligens. Programmet skal effektivisere produksjonen ved å kombinere dataprosessering, maskinlæring, kunstig intelligens og visualisering. For eksempel kan produktet automatisk generere forslag til hvordan man kan justere ventiler på brønnene, slik at oljeproduksjonen økes, uten at det fører til andre kapasitetsutfordringer. I dag er produktet koblet opp på fem felt i Nordsjøen og Norskehavet hos oljeselskapene ConocoPhillips, Aker BP, Neptune, Wintershall og Lundin. Production Co</w:t>
      </w:r>
      <w:r>
        <w:t>m</w:t>
      </w:r>
      <w:r>
        <w:t xml:space="preserve">pass skal gjøre operatører i stand til å øke produksjonen med 1-3 prosent på et oljefelt. På mange av feltene der dette implementeres vil man kunne forvente at den økte produksjonen vil foregå mer energieffektivt, og dermed gi mindre utslipp til luft per produserte oljefat. </w:t>
      </w:r>
    </w:p>
    <w:p w:rsidR="00880768" w:rsidRDefault="00880768">
      <w:pPr>
        <w:pStyle w:val="Ramme-slutt"/>
        <w:rPr>
          <w:sz w:val="26"/>
          <w:szCs w:val="26"/>
        </w:rPr>
      </w:pPr>
      <w:r>
        <w:rPr>
          <w:sz w:val="26"/>
          <w:szCs w:val="26"/>
        </w:rPr>
        <w:t>Rammeslutt</w:t>
      </w:r>
    </w:p>
    <w:p w:rsidR="00880768" w:rsidRDefault="00880768" w:rsidP="00880768">
      <w:pPr>
        <w:pStyle w:val="avsnitt-under-undertittel"/>
      </w:pPr>
      <w:r>
        <w:t>Forskningssentre for petroleumsvirksomhet (PETROSENTER)</w:t>
      </w:r>
    </w:p>
    <w:p w:rsidR="00880768" w:rsidRDefault="00880768" w:rsidP="00880768">
      <w:r>
        <w:t>Både ARCEx og det nasjonale IOR-senteret ble evaluert av et uavhengig internasjonalt panel hø</w:t>
      </w:r>
      <w:r>
        <w:t>s</w:t>
      </w:r>
      <w:r>
        <w:t>ten 2017. Da sentrene ble startet i 2013 ble det gitt bevilgning for fem pluss tre år, hvor de siste tre årene var avhengig av en positiv midtveisevaluering. Konklusjonen fra panelet var at de vitensk</w:t>
      </w:r>
      <w:r>
        <w:t>a</w:t>
      </w:r>
      <w:r>
        <w:t xml:space="preserve">pelige resultatene var sterke, samt at begge sentrene hadde fremragende samarbeid med både andre forskningsmiljøer og industrien. På bakgrunn av denne evalueringen vil begge sentrene fortsette sin virksomhet i tre år til. </w:t>
      </w:r>
    </w:p>
    <w:p w:rsidR="00880768" w:rsidRDefault="00880768" w:rsidP="00880768">
      <w:pPr>
        <w:pStyle w:val="avsnitt-under-undertittel"/>
      </w:pPr>
      <w:r>
        <w:t>MARINFORSK OG PROOFNY</w:t>
      </w:r>
    </w:p>
    <w:p w:rsidR="00880768" w:rsidRDefault="00880768" w:rsidP="00880768">
      <w:r>
        <w:t>Det ble tildelt midler til to nye prosjekter innen temaområdet påvirkning som er direkte relevant for petroleumssektoren. Det ene prosjektet gjennomføres av Havforskningsinstituttet, og skal se på hvordan seismikk påvirker torskens reproduksjon. Det andre prosjektet gjennomføres av SINTEF Ocean, og skal gi en detaljert forståelse av sammensetningen og toksikologiske virkninger av pr</w:t>
      </w:r>
      <w:r>
        <w:t>o</w:t>
      </w:r>
      <w:r>
        <w:t>dusert vann fra olje- og gassindustrien</w:t>
      </w:r>
    </w:p>
    <w:p w:rsidR="00880768" w:rsidRDefault="00880768" w:rsidP="00880768">
      <w:pPr>
        <w:pStyle w:val="avsnitt-under-undertittel"/>
      </w:pPr>
      <w:r>
        <w:t>Strategisk petroleumsforskning</w:t>
      </w:r>
    </w:p>
    <w:p w:rsidR="00880768" w:rsidRDefault="00880768" w:rsidP="00880768">
      <w:r>
        <w:t>I 2017 ble 3 mill. kroner benyttet til IODP-kontingent (The International Ocean Discovery Pr</w:t>
      </w:r>
      <w:r>
        <w:t>o</w:t>
      </w:r>
      <w:r>
        <w:t>gram). Programmet skal legge til rette for internasjonalt samarbeid om avansert forskningsinfr</w:t>
      </w:r>
      <w:r>
        <w:t>a</w:t>
      </w:r>
      <w:r>
        <w:t>struktur for vitenskapelige boringer. Særlig har ekspedisjonen «</w:t>
      </w:r>
      <w:r>
        <w:rPr>
          <w:rStyle w:val="kursiv"/>
          <w:sz w:val="21"/>
          <w:szCs w:val="21"/>
        </w:rPr>
        <w:t>Corinth Active Rift Development</w:t>
      </w:r>
      <w:r>
        <w:t>» gitt økt forståelse for hydrokarbonressurser på norsk sokkel, spesielt med hensyn til hvordan sedime</w:t>
      </w:r>
      <w:r>
        <w:t>n</w:t>
      </w:r>
      <w:r>
        <w:t>ter avsettes og forkastninger endrer seg over tid. Dette er kunnskap som er avgjørende for å kunne øke utvinningen fra mange av feltene på norsk sokkel. Ekspedisjonen inkluderte tre forskere fra Institutt for geovitenskap ved Universitetet i Bergen.</w:t>
      </w:r>
    </w:p>
    <w:p w:rsidR="00880768" w:rsidRDefault="00880768" w:rsidP="00880768">
      <w:r>
        <w:t xml:space="preserve">Videre er det gitt 2,5 mill. kroner til sjøfuglprogrammet SEAPOP, som blant annet har overvåket bestand og hekkesuksess hos sjøfuglarter på 15 lokaliteter, fra Svalbard i nord til Vest-Agder i sør. Modellering av utbredelse og påvirkningsfaktorer som havstrømmer og tilgang på fiskeyngellarver </w:t>
      </w:r>
      <w:r>
        <w:lastRenderedPageBreak/>
        <w:t>er også blitt gjennomført, samt videreutvikling av automatiske systemer for overvåking (fotosta</w:t>
      </w:r>
      <w:r>
        <w:t>s</w:t>
      </w:r>
      <w:r>
        <w:t>joner). SEAPOP samarbeider tett med SEATRACK – et program for å følge trekket med loggere festet til fuglene. Dette har gitt ny kunnskap om trekkruter og vinteroppholdssted.</w:t>
      </w:r>
    </w:p>
    <w:p w:rsidR="00880768" w:rsidRDefault="00880768" w:rsidP="00880768">
      <w:r>
        <w:t>I tillegg er det gitt 1 mill. kroner i støtte til en strategisk satsing på teknologifagene gjennom FRINATEK – Fri prosjektstøtte for matematikk, naturvitenskap og teknologi.</w:t>
      </w:r>
    </w:p>
    <w:p w:rsidR="00880768" w:rsidRDefault="00880768" w:rsidP="00880768">
      <w:pPr>
        <w:pStyle w:val="avsnitt-undertittel"/>
      </w:pPr>
      <w:r>
        <w:t>Energisektoren</w:t>
      </w:r>
    </w:p>
    <w:p w:rsidR="00880768" w:rsidRDefault="00880768" w:rsidP="00880768">
      <w:pPr>
        <w:pStyle w:val="avsnitt-under-undertittel"/>
      </w:pPr>
      <w:r>
        <w:t>ENERGIX</w:t>
      </w:r>
    </w:p>
    <w:p w:rsidR="00880768" w:rsidRDefault="00880768" w:rsidP="00880768">
      <w:r>
        <w:t>I 2017 finansierte ENERGIX 284 prosjekter med til sammen 464 mill. kroner. Videre ble det tildelt om lag 500 mill. kroner til 52 nye prosjekter ved tildelingen i desember. Området energibruk i transport og bygg øker mest, både som resultat av mobiliseringsinnsats og økt kvalitet på prosje</w:t>
      </w:r>
      <w:r>
        <w:t>k</w:t>
      </w:r>
      <w:r>
        <w:t>tene.</w:t>
      </w:r>
    </w:p>
    <w:p w:rsidR="00880768" w:rsidRDefault="00880768" w:rsidP="00880768">
      <w:r>
        <w:t>Tilfanget av søknader fra bedrifter til ENERGIX i 2017 viser at næringslivet er villig til å investere mer enn noen gang i forskning for å utvikle nye løsninger for lavutslippssamfunnet. Bedriftenes satsing styrker Norges konkurransekraft innen miljøvennlig energi og er med på å løse klimau</w:t>
      </w:r>
      <w:r>
        <w:t>t</w:t>
      </w:r>
      <w:r>
        <w:t>fordringene.</w:t>
      </w:r>
    </w:p>
    <w:p w:rsidR="00880768" w:rsidRDefault="00880768" w:rsidP="00880768">
      <w:r>
        <w:t>Mottakerne av FoU-midler fra ENERGIX leverte i 2017 viktige resultater i form av ny kunnskap og nye løsninger; blant annet innen karbonnøytral metallproduksjon, sol-, vind- og bioenergi og viktige kunnskapsbidrag til politikkutforming på feltet.</w:t>
      </w:r>
    </w:p>
    <w:p w:rsidR="00880768" w:rsidRDefault="00880768" w:rsidP="00880768">
      <w:r>
        <w:t>Samspillet mellom FME og ENERGIX bidrar til en viktig strukturering og mobilisering både av forskningsmiljøene og av næringsaktører som er brukerpartnere i FME-ene. Flere av prosjektene som ble innvilget av ENERGIX høsten 2017 er et resultat av samarbeidsrelasjoner etablert gje</w:t>
      </w:r>
      <w:r>
        <w:t>n</w:t>
      </w:r>
      <w:r>
        <w:t>nom pågående FME-sentre.</w:t>
      </w:r>
    </w:p>
    <w:p w:rsidR="00880768" w:rsidRDefault="00880768" w:rsidP="00880768">
      <w:r>
        <w:t>Andre runde av det nye virkemidlet PILOT-E ble også gjennomført i 2017. PILOT-E mottok 25 søknader fra store konsortier med til sammen over 70 bedrifter. Ni prosjekter nådde opp i konku</w:t>
      </w:r>
      <w:r>
        <w:t>r</w:t>
      </w:r>
      <w:r>
        <w:t>ransen. Disse skal utvikle digitale løsninger for håndtering av lokal el-produksjon, forbrukerfleks</w:t>
      </w:r>
      <w:r>
        <w:t>i</w:t>
      </w:r>
      <w:r>
        <w:t>bilitet og energistyring i industrien, samt el- eller hydrogenbaserte løsninger for tunge lastebiler, betongbiler og gravemaskiner. Prosjektene startet opp vinteren 2018.</w:t>
      </w:r>
    </w:p>
    <w:p w:rsidR="00880768" w:rsidRDefault="00880768" w:rsidP="00880768">
      <w:r>
        <w:t>Kvantifiserbare resultater for 2017:</w:t>
      </w:r>
    </w:p>
    <w:p w:rsidR="00880768" w:rsidRDefault="00880768" w:rsidP="00880768">
      <w:pPr>
        <w:pStyle w:val="Liste"/>
      </w:pPr>
      <w:r>
        <w:t>Antall nye/forbedrede produkter/prosesser/tjenester: 31</w:t>
      </w:r>
    </w:p>
    <w:p w:rsidR="00880768" w:rsidRDefault="00880768" w:rsidP="00880768">
      <w:pPr>
        <w:pStyle w:val="Liste"/>
      </w:pPr>
      <w:r>
        <w:t>Antall nye metoder/modeller/prototyper: 75</w:t>
      </w:r>
    </w:p>
    <w:p w:rsidR="00880768" w:rsidRDefault="00880768" w:rsidP="00880768">
      <w:pPr>
        <w:pStyle w:val="Liste"/>
      </w:pPr>
      <w:r>
        <w:t>Antall nye foretak/nye forretningsområder i eksisterende bedrifter: 12</w:t>
      </w:r>
    </w:p>
    <w:p w:rsidR="00880768" w:rsidRDefault="00880768" w:rsidP="00880768">
      <w:pPr>
        <w:pStyle w:val="Liste"/>
      </w:pPr>
      <w:r>
        <w:t>Antall årsverk doktorgrad /postdoktor: 67/41</w:t>
      </w:r>
    </w:p>
    <w:p w:rsidR="00880768" w:rsidRDefault="00880768" w:rsidP="00880768">
      <w:pPr>
        <w:pStyle w:val="Liste"/>
      </w:pPr>
      <w:r>
        <w:t>Antall avlagte doktorgrader: 7</w:t>
      </w:r>
    </w:p>
    <w:p w:rsidR="00880768" w:rsidRDefault="00880768" w:rsidP="00880768">
      <w:pPr>
        <w:pStyle w:val="Liste"/>
      </w:pPr>
      <w:r>
        <w:t>Antall publiserte artikler og monografier: 309</w:t>
      </w:r>
    </w:p>
    <w:p w:rsidR="00880768" w:rsidRDefault="00880768" w:rsidP="00880768">
      <w:pPr>
        <w:pStyle w:val="tittel-ramme"/>
      </w:pPr>
      <w:r>
        <w:t>Prosjekteksempel Nytt og innovativt konsept for fundamenter til of</w:t>
      </w:r>
      <w:r>
        <w:t>f</w:t>
      </w:r>
      <w:r>
        <w:t>shore vindturbiner</w:t>
      </w:r>
    </w:p>
    <w:p w:rsidR="00880768" w:rsidRDefault="00880768" w:rsidP="00880768">
      <w:r>
        <w:t>Fremtiden for utbygging av offshore vind går i retning av større turbiner på dypere havområder. Dagens mest brukte fundamenttyper er lite egnet for disse forholdene ettersom de krever en omfa</w:t>
      </w:r>
      <w:r>
        <w:t>t</w:t>
      </w:r>
      <w:r>
        <w:t>tende installasjonsprosess som involverer store spesialfartøy. Seatower AS har derfor ferdigstilt et prosjekt med utvikling av gravitasjonsfundament i betong for havvindturbiner som innebærer en vesentlig enklere installasjon, uten bruk av spesialfartøy. Dette gir selskapet gode muligheter for salg til et voksende globalt havvindmarked.</w:t>
      </w:r>
    </w:p>
    <w:p w:rsidR="00880768" w:rsidRDefault="00880768">
      <w:pPr>
        <w:pStyle w:val="Ramme-slutt"/>
        <w:rPr>
          <w:sz w:val="26"/>
          <w:szCs w:val="26"/>
        </w:rPr>
      </w:pPr>
      <w:r>
        <w:rPr>
          <w:sz w:val="26"/>
          <w:szCs w:val="26"/>
        </w:rPr>
        <w:lastRenderedPageBreak/>
        <w:t>Rammeslutt</w:t>
      </w:r>
    </w:p>
    <w:p w:rsidR="00880768" w:rsidRDefault="00880768" w:rsidP="00880768">
      <w:pPr>
        <w:pStyle w:val="avsnitt-under-undertittel"/>
      </w:pPr>
      <w:r>
        <w:t>Forskningssentre for miljøvennlig energi</w:t>
      </w:r>
    </w:p>
    <w:p w:rsidR="00880768" w:rsidRDefault="00880768" w:rsidP="00880768">
      <w:r>
        <w:t>I sluttrapportene fra første gruppe av FME-er gis det en bred omtale av det internasjonale sama</w:t>
      </w:r>
      <w:r>
        <w:t>r</w:t>
      </w:r>
      <w:r>
        <w:t>beidet og det kommer godt frem hvordan dette har bidratt til de konkrete resultatene fra sentrene. Et eksempel på dette er havvindsenteret NORCOWEs målekampanjer som har vært gjennomført i tett samarbeid med internasjonale aktører. Et annet eksempel er at to av de samfunnsvitenskapelige FME-ene, CenSES og CREE, er invitert med i et internasjonalt prosjekt, «Implications of Paris». Prosjektet er i regi av CenSES-partner Joint Global Change Research Institute. Gjennom en rekke worskhops og seminarer har FME-ene også arbeidet med å legge grunnlag for nye samarbeidspr</w:t>
      </w:r>
      <w:r>
        <w:t>o</w:t>
      </w:r>
      <w:r>
        <w:t>sjekter innenfor Horisont 2020.</w:t>
      </w:r>
    </w:p>
    <w:p w:rsidR="00880768" w:rsidRDefault="00880768" w:rsidP="00880768">
      <w:r>
        <w:t>Det ble lagt stor vekt på internasjonalt samarbeid i den siste FME-utlysningen (2016). De åtte nye FME-ene arbeider alle aktivt med det internasjonale samarbeidet. Det legges i større grad enn ti</w:t>
      </w:r>
      <w:r>
        <w:t>d</w:t>
      </w:r>
      <w:r>
        <w:t>ligere vekt på en strategisk tilnærming til dette arbeidet. Sentrene setter av ressurser til forskeru</w:t>
      </w:r>
      <w:r>
        <w:t>t</w:t>
      </w:r>
      <w:r>
        <w:t>veksling og gjesteforskere, og inntrykket er at det internasjonale samarbeidet har kommet raskere i gang enn i forrige runde. Forskningsrådet har gjennomført en analyse av FME-enes deltakelse i Horisont 2020. Selv om mange av aktørene i sentrene er aktive i EU-forskningen, kan om lag halvparten av partnerne i sentrene ikke vise til deltakelse i verken søknader eller prosjekter i Hor</w:t>
      </w:r>
      <w:r>
        <w:t>i</w:t>
      </w:r>
      <w:r>
        <w:t>sont 2020. Dette vil Forskningsrådet følge opp.</w:t>
      </w:r>
    </w:p>
    <w:p w:rsidR="00880768" w:rsidRDefault="00880768" w:rsidP="00880768">
      <w:r>
        <w:t>I forbindelse med sluttrapporteringen fra FME-ene er det bedt om en oversikt over hvor dokto</w:t>
      </w:r>
      <w:r>
        <w:t>r</w:t>
      </w:r>
      <w:r>
        <w:t>gradsstipendiater fra sentrene arbeider etter at graden er avlagt. Av om lag 100 stipendiater (gjelder fem av åtte sentre) som har avlagt graden i disse sentrene, arbeider om lag 30 i næringslivet, fem i offentlige virksomheter og om lag 40 i universiteter og forskningsinstitutter. De øvrige arbeider i all hovedsak utenfor Norge. Antallet stipendiater i sentrene har vært nedadgående fra 2013 fordi stipendiatene etter hvert har avlagt graden. I 2017 begynte den nye gruppen FME-er å ansette st</w:t>
      </w:r>
      <w:r>
        <w:t>i</w:t>
      </w:r>
      <w:r>
        <w:t>pendiater og antallet er igjen økende. I 2017 hadde FME-ene 94 doktorgradsstipendiater (41 pr</w:t>
      </w:r>
      <w:r>
        <w:t>o</w:t>
      </w:r>
      <w:r>
        <w:t>sent kvinner) og 27 postdoktorstipendiater (33 prosent kvinner). Sentrene har også en viktig op</w:t>
      </w:r>
      <w:r>
        <w:t>p</w:t>
      </w:r>
      <w:r>
        <w:t>gave innen utdanning på mastergradsnivå. De fem FME-ene som så langt har levert sluttrapport rapporterer om at 360 studenter har tatt mastergraden i tilknytning til sentrene.</w:t>
      </w:r>
    </w:p>
    <w:p w:rsidR="00880768" w:rsidRDefault="00880768" w:rsidP="00880768">
      <w:r>
        <w:t>FME-ene samlet sett, har utgitt mer enn 2 650 vitenskapelige publikasjoner i periodika eller bøker med referee-ordning. Dette vitner om høy vitenskapelig kvalitet i prosjektene. Høsten 2017 startet FME, ENERGIX og CLIMIT planlegging av en analyse som skal dokumentere samfunnseffekter av Forskningsrådets målrettede satsing innenfor miljøvennlig energi i perioden 2008 til 2017. Rapport forventes å foreligge i oktober 2018.</w:t>
      </w:r>
    </w:p>
    <w:p w:rsidR="00880768" w:rsidRDefault="00880768" w:rsidP="00880768">
      <w:r>
        <w:t>I 2017 har Forskningsrådet arbeidet med kunnskapsgrunnlaget for en ny utlysning av samfunnsv</w:t>
      </w:r>
      <w:r>
        <w:t>i</w:t>
      </w:r>
      <w:r>
        <w:t>tenskapelige FME-er. Utlysningen ble publisert i januar 2018. Tidsplanen for denne utlysningen er også lagt med sikte på å holde et så jevnt aktivitetsnivå som mulig innenfor forskningsfeltet. I fo</w:t>
      </w:r>
      <w:r>
        <w:t>r</w:t>
      </w:r>
      <w:r>
        <w:t>bindelse med dette arbeidet har det vært avholdt dialogmøter med forskere og brukere. Rapport fra NIFU om kvalitet på samfunnsvitenskapelig energiforskning fra 2016 inngikk i kunnskapsgrun</w:t>
      </w:r>
      <w:r>
        <w:t>n</w:t>
      </w:r>
      <w:r>
        <w:t>laget. Arbeidet var grunnlag for anbefaling om og innretting på ny utlysning. I utlysningen er det lagt vekt på sentrenes rolle i å løse utfordringer på energi- og klimaområdet. Tildeling til nye sentre vil skje våren 2019.</w:t>
      </w:r>
    </w:p>
    <w:p w:rsidR="00880768" w:rsidRDefault="00880768" w:rsidP="00880768">
      <w:pPr>
        <w:pStyle w:val="tittel-ramme"/>
      </w:pPr>
      <w:r>
        <w:t>Forskningssentre for miljøvennlig energi</w:t>
      </w:r>
    </w:p>
    <w:p w:rsidR="00880768" w:rsidRDefault="00880768" w:rsidP="00880768">
      <w:r>
        <w:t>De åtte FME-ene fra 2009 har de siste årene arbeidet mye med å konkretisere innovasjoner og le</w:t>
      </w:r>
      <w:r>
        <w:t>g</w:t>
      </w:r>
      <w:r>
        <w:t>ge til rette for at disse skal komme til anvendelse. Det ene senteret innenfor offshore vind (N</w:t>
      </w:r>
      <w:r>
        <w:t>O</w:t>
      </w:r>
      <w:r>
        <w:t xml:space="preserve">WITECH) fikk i 2017 utarbeidet en analyse som beregnet verdiskapingspotensialet for åtte av totalt </w:t>
      </w:r>
      <w:r>
        <w:lastRenderedPageBreak/>
        <w:t xml:space="preserve">40 konkrete innovasjoner i senteret. Verdiskapingspotensialet ble anslått til å være i størrelsesorden 50 mrd. kroner for de neste 12–13 årene. </w:t>
      </w:r>
    </w:p>
    <w:p w:rsidR="00880768" w:rsidRDefault="00880768" w:rsidP="00880768">
      <w:r>
        <w:t>CEDREN, som har arbeidet med miljøkonsekvenser av fornybar energi, har utviklet metoder og verktøy som gjør at vannkraftproduksjon kan økes uten at dette får negative konsekvenser for mi</w:t>
      </w:r>
      <w:r>
        <w:t>l</w:t>
      </w:r>
      <w:r>
        <w:t xml:space="preserve">jøet. CEDREN har også utarbeidet metoder for optimale valg av traseer for kraftlinjer. </w:t>
      </w:r>
    </w:p>
    <w:p w:rsidR="00880768" w:rsidRDefault="00880768" w:rsidP="00880768">
      <w:r>
        <w:t>I ZEB (Zero Emission Buildings) har byggenæringen blitt sterkt involvert i aktiviteten i senteret gjennom pilotbyggene. Gjennom pilotbyggene er det dokumentert at det er fullt mulig å bygge nullutslippshus i dag, både innenfor offentlig og kommersiell sektor.</w:t>
      </w:r>
    </w:p>
    <w:p w:rsidR="00880768" w:rsidRDefault="00880768">
      <w:pPr>
        <w:pStyle w:val="Ramme-slutt"/>
        <w:rPr>
          <w:sz w:val="26"/>
          <w:szCs w:val="26"/>
        </w:rPr>
      </w:pPr>
      <w:r>
        <w:rPr>
          <w:sz w:val="26"/>
          <w:szCs w:val="26"/>
        </w:rPr>
        <w:t>Rammeslutt</w:t>
      </w:r>
    </w:p>
    <w:p w:rsidR="00880768" w:rsidRDefault="00880768" w:rsidP="00880768">
      <w:pPr>
        <w:pStyle w:val="avsnitt-under-undertittel"/>
      </w:pPr>
      <w:r>
        <w:t>Strategisk energiforskning</w:t>
      </w:r>
    </w:p>
    <w:p w:rsidR="00880768" w:rsidRDefault="00880768" w:rsidP="00880768">
      <w:r>
        <w:t>I 2017 ble det gitt 6,5 mill. kroner i tilskudd over OEDs budsjett til PES2020 – prosjektetablering</w:t>
      </w:r>
      <w:r>
        <w:t>s</w:t>
      </w:r>
      <w:r>
        <w:t xml:space="preserve">støtte rettet mot EUs forsknings- og innovasjonsprogram Horisont 2020. PES2020 skal bidra til økt norsk deltakelse i Horisont 2020 ved å avlaste kostnader for norske aktører som søker om støtte fra rammeprogrammet. </w:t>
      </w:r>
    </w:p>
    <w:p w:rsidR="00880768" w:rsidRDefault="00880768" w:rsidP="00880768">
      <w:r>
        <w:t>Forskning og undervisning innenfor energirett ved Universitetet i Oslo ble videreført med en støtte på 1,5 mill. kroner i 2017. Programmet har som hovedmål kompetansebygging og forskning i</w:t>
      </w:r>
      <w:r>
        <w:t>n</w:t>
      </w:r>
      <w:r>
        <w:t>nenfor alle rettsspørsmål med tilknytning til energisektoren, det vil si offentligrettslige, privatrett</w:t>
      </w:r>
      <w:r>
        <w:t>s</w:t>
      </w:r>
      <w:r>
        <w:t>lige og EØS-rettslige spørsmål, og med hovedfokus på regulering av kraftmarkedet.</w:t>
      </w:r>
    </w:p>
    <w:p w:rsidR="00880768" w:rsidRDefault="00880768" w:rsidP="00880768">
      <w:pPr>
        <w:pStyle w:val="b-post"/>
      </w:pPr>
      <w:r>
        <w:t>Post 70 Tilskudd til Nordisk Energiforskning</w:t>
      </w:r>
    </w:p>
    <w:p w:rsidR="00880768" w:rsidRDefault="00880768" w:rsidP="00880768">
      <w:r>
        <w:t xml:space="preserve">Norge bidrar til finansieringen av Nordisk Energiforskning (NEF) som finansieres i fellesskap av de nordiske landene etter en fastsatt fordelingsnøkkel basert på landenes bruttonasjonalprodukt. </w:t>
      </w:r>
    </w:p>
    <w:p w:rsidR="00880768" w:rsidRDefault="00880768" w:rsidP="00880768">
      <w:r>
        <w:t>Nordisk Energiforsknings hovedmål er å understøtte det nordiske energisamarbeidet. NEF fina</w:t>
      </w:r>
      <w:r>
        <w:t>n</w:t>
      </w:r>
      <w:r>
        <w:t>sierer og fremmer det nordiske samarbeidet, skaper forskningsbaserte grunnlag for energipolitiske beslutninger og er et mellomledd mellom industri, forskning og politikere. NEF har et spesielt f</w:t>
      </w:r>
      <w:r>
        <w:t>o</w:t>
      </w:r>
      <w:r>
        <w:t>kus på bærekraftige og konkurransedyktige energiløsninger. Institusjonen arbeider også på eur</w:t>
      </w:r>
      <w:r>
        <w:t>o</w:t>
      </w:r>
      <w:r>
        <w:t xml:space="preserve">peisk nivå. </w:t>
      </w:r>
    </w:p>
    <w:p w:rsidR="00880768" w:rsidRDefault="00880768" w:rsidP="00880768">
      <w:r>
        <w:t xml:space="preserve">Det foreslås en bevilgning på 11 mill. kroner til Nordisk Energiforskning, som er et anslag på det norske bidraget i 2019. </w:t>
      </w:r>
    </w:p>
    <w:p w:rsidR="00880768" w:rsidRDefault="00880768" w:rsidP="00880768">
      <w:pPr>
        <w:pStyle w:val="avsnitt-tittel"/>
      </w:pPr>
      <w:r>
        <w:t>Resultatrapport 2017</w:t>
      </w:r>
    </w:p>
    <w:p w:rsidR="00880768" w:rsidRDefault="00880768" w:rsidP="00880768">
      <w:r>
        <w:t>I 2017 er det blant annet arbeidet med tre energiforskningsprosjekter som omfatter henholdsvis fleksibilitet i energisystemet, transportsektoren og CO</w:t>
      </w:r>
      <w:r>
        <w:rPr>
          <w:rStyle w:val="skrift-senket"/>
          <w:sz w:val="21"/>
          <w:szCs w:val="21"/>
        </w:rPr>
        <w:t>2</w:t>
      </w:r>
      <w:r>
        <w:t>-håndtering. Prosjektene har en varighet på fire år og er midtveis i programperioden.</w:t>
      </w:r>
    </w:p>
    <w:p w:rsidR="00880768" w:rsidRDefault="00880768" w:rsidP="00880768">
      <w:pPr>
        <w:pStyle w:val="b-post"/>
      </w:pPr>
      <w:r>
        <w:t>Post 72 Tilskudd til Norwegian Energy Partners</w:t>
      </w:r>
    </w:p>
    <w:p w:rsidR="00880768" w:rsidRDefault="00880768" w:rsidP="00880768">
      <w:r>
        <w:t>Norwegian Energy Partners (Norwep) er en stiftelse med formål å styrke det langsiktige grunnlaget for norsk verdiskaping og sysselsetting i energirelaterte virksomheter ved å tilrettelegge for fok</w:t>
      </w:r>
      <w:r>
        <w:t>u</w:t>
      </w:r>
      <w:r>
        <w:t xml:space="preserve">sert internasjonal forretningsutvikling. </w:t>
      </w:r>
    </w:p>
    <w:p w:rsidR="00880768" w:rsidRDefault="00880768" w:rsidP="00880768">
      <w:r>
        <w:t>Det foreslås en bevilgning på 34 mill. kroner til drift av Norweps samlede virksomhet i 2019.</w:t>
      </w:r>
    </w:p>
    <w:p w:rsidR="00880768" w:rsidRDefault="00880768" w:rsidP="00880768">
      <w:pPr>
        <w:pStyle w:val="avsnitt-tittel"/>
      </w:pPr>
      <w:r>
        <w:lastRenderedPageBreak/>
        <w:t>Mål og aktiviteter</w:t>
      </w:r>
    </w:p>
    <w:p w:rsidR="00880768" w:rsidRDefault="00880768" w:rsidP="00880768">
      <w:r>
        <w:t>Norwep skal blant annet arbeide for:</w:t>
      </w:r>
    </w:p>
    <w:p w:rsidR="00880768" w:rsidRDefault="00880768" w:rsidP="00880768">
      <w:pPr>
        <w:pStyle w:val="Liste"/>
      </w:pPr>
      <w:r>
        <w:t>å opprettholde den sterke posisjonen norsk leverandørindustri har innenfor olje- og gas</w:t>
      </w:r>
      <w:r>
        <w:t>s</w:t>
      </w:r>
      <w:r>
        <w:t>bransjen, og styrke norsk leverandørindustri sin posisjon innen fornybar energi</w:t>
      </w:r>
    </w:p>
    <w:p w:rsidR="00880768" w:rsidRDefault="00880768" w:rsidP="00880768">
      <w:pPr>
        <w:pStyle w:val="Liste"/>
      </w:pPr>
      <w:r>
        <w:t>at norske virksomheter innenfor energirelaterte næringer tar en økende andel av det sterkt voksende markedet globalt</w:t>
      </w:r>
    </w:p>
    <w:p w:rsidR="00880768" w:rsidRDefault="00880768" w:rsidP="00880768">
      <w:pPr>
        <w:pStyle w:val="Liste"/>
      </w:pPr>
      <w:r>
        <w:t xml:space="preserve">å bidra til både vekst og risikospredning ved å utnytte eksisterende kompetanser og styrker på tvers av flere bransjer, og dermed oppnå en bedre integrering av energirelaterte virksomheter i Norge </w:t>
      </w:r>
    </w:p>
    <w:p w:rsidR="00880768" w:rsidRDefault="00880768" w:rsidP="00880768">
      <w:pPr>
        <w:pStyle w:val="Liste"/>
      </w:pPr>
      <w:r>
        <w:t>at norske virksomheter bidrar til å utvikle og levere bærekraftige energiløsninger globalt</w:t>
      </w:r>
    </w:p>
    <w:p w:rsidR="00880768" w:rsidRDefault="00880768" w:rsidP="00880768">
      <w:r>
        <w:t xml:space="preserve">Innen teknologiområdene skal man i 2019 videreføre økt innsats innen fornybar energi, samtidig som aktiviteten innen olje og gass blir opprettholdt på tidligere nivå. </w:t>
      </w:r>
    </w:p>
    <w:p w:rsidR="00880768" w:rsidRDefault="00880768" w:rsidP="00880768">
      <w:r>
        <w:t>Det foregår en økt digitalisering innen energinæringene. Dette endrer måten det jobbes på, info</w:t>
      </w:r>
      <w:r>
        <w:t>r</w:t>
      </w:r>
      <w:r>
        <w:t>masjonsutnyttelse og måten det samhandles på. Implementering av digital teknologi innenfor ene</w:t>
      </w:r>
      <w:r>
        <w:t>r</w:t>
      </w:r>
      <w:r>
        <w:t>ginæringene blir derfor et viktig område for Norwep i årene som kommer med tanke på økt inte</w:t>
      </w:r>
      <w:r>
        <w:t>r</w:t>
      </w:r>
      <w:r>
        <w:t xml:space="preserve">nasjonalisering av norsk kompetanse innenfor de ulike teknologiområdene. </w:t>
      </w:r>
    </w:p>
    <w:p w:rsidR="00880768" w:rsidRDefault="00880768" w:rsidP="00880768">
      <w:r>
        <w:t xml:space="preserve">De prioriterte markedene for petroleumsnæringen er Australia, Brasil, De forente arabiske emirater, Canada, Sør-Korea, Malaysia, Mexico, Storbritannia, USA og Kina. </w:t>
      </w:r>
    </w:p>
    <w:p w:rsidR="00880768" w:rsidRDefault="00880768" w:rsidP="00880768">
      <w:r>
        <w:t>I tillegg er internasjonale ingeniørsentre viktige: Det er særlig i Houston, London, Haag, Paris, M</w:t>
      </w:r>
      <w:r>
        <w:t>i</w:t>
      </w:r>
      <w:r>
        <w:t>lano og Kuala Lumpur det tas sentrale beslutninger og gjøres ingeniørarbeid på prosjekter som blant annet skal til norsk sokkel. Prioriteringene vurderes fortløpende i tråd med markedsutvi</w:t>
      </w:r>
      <w:r>
        <w:t>k</w:t>
      </w:r>
      <w:r>
        <w:t xml:space="preserve">lingen. </w:t>
      </w:r>
    </w:p>
    <w:p w:rsidR="00880768" w:rsidRDefault="00880768" w:rsidP="00880768">
      <w:r>
        <w:t>Mulighetene for vekst i norsk fornybarnæring er hovedsakelig i det internasjonale markedet. Nor</w:t>
      </w:r>
      <w:r>
        <w:t>s</w:t>
      </w:r>
      <w:r>
        <w:t>ke aktører har i dag en forholdsvis liten andel av det sterkt voksende internasjonale markedet i</w:t>
      </w:r>
      <w:r>
        <w:t>n</w:t>
      </w:r>
      <w:r>
        <w:t>nenfor fornybar energi. Gjennom systematisk arbeid med hele verdikjeden – leverandører, kons</w:t>
      </w:r>
      <w:r>
        <w:t>u</w:t>
      </w:r>
      <w:r>
        <w:t>lenter og utviklere, er det potensiale for å øke denne andelen betydelig.</w:t>
      </w:r>
    </w:p>
    <w:p w:rsidR="00880768" w:rsidRDefault="00880768" w:rsidP="00880768">
      <w:r>
        <w:t>Fornybarnæringen er mer sammensatt når det gjelder markeder og teknologier. Innsatsen innen fornybar energi/kraftsektoren vil ha hovedvekt på vannkraft, offshore vind og muliggjørende te</w:t>
      </w:r>
      <w:r>
        <w:t>k</w:t>
      </w:r>
      <w:r>
        <w:t>nologier/kraftsystemer som naturlig hører til, herunder digitalisering. For vannkraft vil fokus i u</w:t>
      </w:r>
      <w:r>
        <w:t>t</w:t>
      </w:r>
      <w:r>
        <w:t>gangspunktet rette seg mot Afrika, Sør-øst Asia samt Europa. For vindkraft er nordsjøområdet det viktigste markedet offshore, og utover dette vil markedet kartlegges for fremtidige behov, geogr</w:t>
      </w:r>
      <w:r>
        <w:t>a</w:t>
      </w:r>
      <w:r>
        <w:t>fisk og på prosjektnivå. Innen solenergi er Kina, USA og Japan viktige markeder i tillegg til utvi</w:t>
      </w:r>
      <w:r>
        <w:t>k</w:t>
      </w:r>
      <w:r>
        <w:t xml:space="preserve">lingsregioner. </w:t>
      </w:r>
    </w:p>
    <w:p w:rsidR="00880768" w:rsidRDefault="00880768" w:rsidP="00880768">
      <w:r>
        <w:t>Barrierer som hindrer norske selskaper i å ekspandere internasjonalt kan knyttes til manglende klyngesamarbeid og nettverk, samt manglende internasjonaliseringskompetanse, risikoforståelse og nødvendige ressurser, både økonomisk og personalmessig. Norwep tilbyr derfor rådgiving til me</w:t>
      </w:r>
      <w:r>
        <w:t>d</w:t>
      </w:r>
      <w:r>
        <w:t xml:space="preserve">lemmene innenfor disse områdene, også knyttet til antikorrupsjon. Ved </w:t>
      </w:r>
      <w:proofErr w:type="gramStart"/>
      <w:r>
        <w:t>å</w:t>
      </w:r>
      <w:proofErr w:type="gramEnd"/>
      <w:r>
        <w:t xml:space="preserve"> i større grad opptre samlet får særlig små og mellomstore bedrifter lettere tilgang til myndigheter og kunder i interessante markeder.</w:t>
      </w:r>
    </w:p>
    <w:p w:rsidR="00880768" w:rsidRDefault="00880768" w:rsidP="00880768">
      <w:r>
        <w:t xml:space="preserve">Norwep ønsker også </w:t>
      </w:r>
      <w:proofErr w:type="gramStart"/>
      <w:r>
        <w:t>å</w:t>
      </w:r>
      <w:proofErr w:type="gramEnd"/>
      <w:r>
        <w:t xml:space="preserve"> utforske nye teknologiområder der kompetanse fra både fornybar- og petr</w:t>
      </w:r>
      <w:r>
        <w:t>o</w:t>
      </w:r>
      <w:r>
        <w:t>leumsnæringen kan utnyttes for å øke eksporten av norske varer og tjenester. Etter sammenslåingen er det derfor blitt jobbet konkret med prosjekter som kan lede til at selskaper som tradisjonelt har vært orientert mot olje- og gassvirksomhet nå også kan utnytte mulighetene i det voksende intern</w:t>
      </w:r>
      <w:r>
        <w:t>a</w:t>
      </w:r>
      <w:r>
        <w:t>sjonale markedet for fornybar energi. Særlig innenfor offshore vind er det stor interesse fra lev</w:t>
      </w:r>
      <w:r>
        <w:t>e</w:t>
      </w:r>
      <w:r>
        <w:t>randører til petroleumssektoren. Norwep har derfor styrket sin rådgiverkompetanse innenfor dette segmentet.</w:t>
      </w:r>
    </w:p>
    <w:p w:rsidR="00880768" w:rsidRDefault="00880768" w:rsidP="00880768">
      <w:pPr>
        <w:pStyle w:val="avsnitt-tittel"/>
      </w:pPr>
      <w:r>
        <w:lastRenderedPageBreak/>
        <w:t>Resultatrapport 2017</w:t>
      </w:r>
    </w:p>
    <w:p w:rsidR="00880768" w:rsidRDefault="00880768" w:rsidP="00880768">
      <w:r>
        <w:t>Norwegian Energy Partners hadde sitt første fulle driftsår etter at stiftelsen INTSOK gjennom ve</w:t>
      </w:r>
      <w:r>
        <w:t>d</w:t>
      </w:r>
      <w:r>
        <w:t>tektsendring fra 1. januar 2017 endret navn og utvidet sitt virkeområde til også å omfatte fornybar energi. Foreningen INTPOW overdro på samme tidspunkt sin virksomhet til Norwep og ble dere</w:t>
      </w:r>
      <w:r>
        <w:t>t</w:t>
      </w:r>
      <w:r>
        <w:t>ter oppløst.</w:t>
      </w:r>
    </w:p>
    <w:p w:rsidR="00880768" w:rsidRDefault="00880768" w:rsidP="00880768">
      <w:r>
        <w:t>Formålet med omdannelsen var å hjelpe norske bedrifter i hele energispekteret i deres internasjon</w:t>
      </w:r>
      <w:r>
        <w:t>a</w:t>
      </w:r>
      <w:r>
        <w:t>liseringsstrategi, for å styrke det langsiktige grunnlaget for verdiskaping og sysselsetting i nors</w:t>
      </w:r>
      <w:r>
        <w:t>k</w:t>
      </w:r>
      <w:r>
        <w:t>basert energiindustri. Et annet mål er å gi den norskbaserte leverandørindustrien innen hele energ</w:t>
      </w:r>
      <w:r>
        <w:t>i</w:t>
      </w:r>
      <w:r>
        <w:t>sektoren, både petroleum og fornybar enda bedre muligheter til å utnytte sin kompetanse og tekn</w:t>
      </w:r>
      <w:r>
        <w:t>o</w:t>
      </w:r>
      <w:r>
        <w:t>logi på tvers av de ulike energiområdene.</w:t>
      </w:r>
    </w:p>
    <w:p w:rsidR="00880768" w:rsidRDefault="00880768" w:rsidP="00880768">
      <w:r>
        <w:t>Et hovedfokus har vært å videreutvikle strategien innenfor satsingsområdet havvind. Norwep har gjort ansettelser innen havvind som teknologiområde, og har dermed doblet kapasiteten innen ha</w:t>
      </w:r>
      <w:r>
        <w:t>v</w:t>
      </w:r>
      <w:r>
        <w:t>vind sammenlignet med 2016. I 2017 gjennomførte Norwep en kartlegging av leverandørkjeden i Norge, samt markedsmulighetene og prosjektmulighetene innenfor havvind internasjonalt. Basert på denne kartleggingen mener Norwep det bør kunne være mulig å øke den internasjonale omse</w:t>
      </w:r>
      <w:r>
        <w:t>t</w:t>
      </w:r>
      <w:r>
        <w:t>ningen til norske leverandører fra om lag 5 mrd. kroner i dag, til 50 mrd. kroner i 2030.</w:t>
      </w:r>
    </w:p>
    <w:p w:rsidR="00880768" w:rsidRDefault="00880768" w:rsidP="00880768">
      <w:r>
        <w:t>Norwep har gjennom 2017 videreført det arbeidet som INTSOK og INTPOW tidligere sto for, med et målrettet arbeid for å bistå næringene i internasjonale markeder. Norwep mener at 2017 bød på noe mer optimisme etter noen krevende år på grunn av fallende oljepris, en rekke prosjektutsette</w:t>
      </w:r>
      <w:r>
        <w:t>l</w:t>
      </w:r>
      <w:r>
        <w:t>ser og nedbemanninger. Norwep var aktivt ute i markedene, med en økning på nær 100 flere rå</w:t>
      </w:r>
      <w:r>
        <w:t>d</w:t>
      </w:r>
      <w:r>
        <w:t>givningstjenester sammenlignet med 2016. Det er i tillegg brukt mer tid på rådgivning av partnerne enn tidligere. 1130 dager i 20 ulike markeder var en økning på 250 dager, sammenlignet med 2016. Norwep har nådd målene sine om økt tjenestetilbud, også en rekordhøy aktivitet i 2017.</w:t>
      </w:r>
    </w:p>
    <w:p w:rsidR="00880768" w:rsidRDefault="00880768" w:rsidP="00880768">
      <w:r>
        <w:t>I 2017 hadde Norwep i tillegg 111 arrangementer i 18 markeder. 60 av arrangementene var olje og gassrelaterte, mens 51 var relatert til fornybar energi. Norwep har på en god måte klart å oppret</w:t>
      </w:r>
      <w:r>
        <w:t>t</w:t>
      </w:r>
      <w:r>
        <w:t>holde et høyt og relevant aktivitetsnivå innen olje og gass, mens man samtidig har mer enn doblet antall fornybararrangementer.</w:t>
      </w:r>
    </w:p>
    <w:p w:rsidR="00880768" w:rsidRDefault="00880768" w:rsidP="00880768">
      <w:r>
        <w:t>Norwep har i 2017 økt sin bistand i internasjonale markeder i tråd med målene for omdannelsen. En har oppnådd høyere ytelse gjennom fokus på partnerkontakt, samt spisset innsats i de ulike te</w:t>
      </w:r>
      <w:r>
        <w:t>k</w:t>
      </w:r>
      <w:r>
        <w:t>nologiområdene og markedene, blant annet gjennom økt bruk av lokale rådgivere. Fornybarselsk</w:t>
      </w:r>
      <w:r>
        <w:t>a</w:t>
      </w:r>
      <w:r>
        <w:t>pene har etter omdannelsen til Norwep fått økt markedstilgang gjennom å kunne benytte rådgive</w:t>
      </w:r>
      <w:r>
        <w:t>r</w:t>
      </w:r>
      <w:r>
        <w:t>apparatet til tidligere INTSOK.</w:t>
      </w:r>
    </w:p>
    <w:p w:rsidR="00880768" w:rsidRDefault="00880768" w:rsidP="00880768">
      <w:r>
        <w:t>Den årlige partnerundersøkelsen som tidligere INTSOK, nå Norwep, har gjort, viser en økende tilfredshet hos partnerne med Norweps tilbud i 2017, sammenlignet med tidligere år.</w:t>
      </w:r>
    </w:p>
    <w:p w:rsidR="00880768" w:rsidRDefault="00880768" w:rsidP="00880768">
      <w:pPr>
        <w:pStyle w:val="b-progkat"/>
      </w:pPr>
      <w:r>
        <w:t>Programkategori 18.40 CO</w:t>
      </w:r>
      <w:r>
        <w:rPr>
          <w:rStyle w:val="skrift-senket"/>
          <w:szCs w:val="30"/>
        </w:rPr>
        <w:t>2</w:t>
      </w:r>
      <w:r>
        <w:t>-håndtering</w:t>
      </w:r>
    </w:p>
    <w:p w:rsidR="00880768" w:rsidRDefault="00880768" w:rsidP="00880768">
      <w:pPr>
        <w:pStyle w:val="Undertittel"/>
      </w:pPr>
      <w:r>
        <w:t>Utviklingstrekk</w:t>
      </w:r>
    </w:p>
    <w:p w:rsidR="00880768" w:rsidRDefault="00880768" w:rsidP="00880768">
      <w:r>
        <w:t>Regjeringen fører en offensiv klimapolitikk som bidrar til en langsiktig omstilling til et lavu</w:t>
      </w:r>
      <w:r>
        <w:t>t</w:t>
      </w:r>
      <w:r>
        <w:t>slippssamfunn. Satsing på CO</w:t>
      </w:r>
      <w:r>
        <w:rPr>
          <w:rStyle w:val="skrift-senket"/>
          <w:sz w:val="21"/>
          <w:szCs w:val="21"/>
        </w:rPr>
        <w:t>2</w:t>
      </w:r>
      <w:r>
        <w:t>-fangst og -lagring kan være viktig for å redusere utslipp fra kull- og gasskraftverk og industrielle prosesser. Både FNs klimapanel og Det internasjonal energibyrået (IEA) peker på at det vil være svært vanskelig og mye dyrere å nå togradersmålet uten CO</w:t>
      </w:r>
      <w:r>
        <w:rPr>
          <w:rStyle w:val="skrift-senket"/>
          <w:sz w:val="21"/>
          <w:szCs w:val="21"/>
        </w:rPr>
        <w:t>2</w:t>
      </w:r>
      <w:r>
        <w:t>-håndtering. Teknologi for CO</w:t>
      </w:r>
      <w:r>
        <w:rPr>
          <w:rStyle w:val="skrift-senket"/>
          <w:sz w:val="21"/>
          <w:szCs w:val="21"/>
        </w:rPr>
        <w:t>2</w:t>
      </w:r>
      <w:r>
        <w:t>-fangst og -lagring vil også være avgjørende for å kunne real</w:t>
      </w:r>
      <w:r>
        <w:t>i</w:t>
      </w:r>
      <w:r>
        <w:t>sere såkalte karbonnegative løsninger i andre halvdel av dette århundret. I følge Det globale CCS-instituttet er det i dag 18 fullskalaprosjekter i drift globalt med en samlet fangstkapasitet på over 30 mill. tonn CO</w:t>
      </w:r>
      <w:r>
        <w:rPr>
          <w:rStyle w:val="skrift-senket"/>
          <w:sz w:val="21"/>
          <w:szCs w:val="21"/>
        </w:rPr>
        <w:t>2</w:t>
      </w:r>
      <w:r>
        <w:t xml:space="preserve">. Ni av disse prosjektene er i USA. I 2018 ble det første fullskalaprosjektet i </w:t>
      </w:r>
      <w:r>
        <w:lastRenderedPageBreak/>
        <w:t>Kina satt i drift. Til tross for økende oppmerksomhet om CO</w:t>
      </w:r>
      <w:r>
        <w:rPr>
          <w:rStyle w:val="skrift-senket"/>
          <w:sz w:val="21"/>
          <w:szCs w:val="21"/>
        </w:rPr>
        <w:t>2</w:t>
      </w:r>
      <w:r>
        <w:t xml:space="preserve">-håndtering i flere land, advarer Det globale CCS-instituttet i sin siste statusrapport om at tilveksten av nye prosjekter er svært lav, og at antall prosjekter under planlegging går nedover. </w:t>
      </w:r>
    </w:p>
    <w:p w:rsidR="00880768" w:rsidRDefault="00880768" w:rsidP="00880768">
      <w:r>
        <w:t>For at fangst og lagring av CO</w:t>
      </w:r>
      <w:r>
        <w:rPr>
          <w:rStyle w:val="skrift-senket"/>
          <w:spacing w:val="-2"/>
          <w:sz w:val="21"/>
          <w:szCs w:val="21"/>
        </w:rPr>
        <w:t>2</w:t>
      </w:r>
      <w:r>
        <w:t xml:space="preserve"> skal utvikles til å bli et virkningsfullt klimatiltak, er demonstrasjon neste steg for å oppnå ytterligere læring og kostnadsreduksjoner. Alle leddene i fangst- og lagrin</w:t>
      </w:r>
      <w:r>
        <w:t>g</w:t>
      </w:r>
      <w:r>
        <w:t>skjeden er kjente, og i så måte består kjeden av flere modne teknologikomponenter. Til tross for at det er flere prosjekter i drift i dag så er det fremdeles betydelige barrierer for utvikling av fangst og lagring av CO</w:t>
      </w:r>
      <w:r>
        <w:rPr>
          <w:rStyle w:val="skrift-senket"/>
          <w:spacing w:val="-2"/>
          <w:sz w:val="21"/>
          <w:szCs w:val="21"/>
        </w:rPr>
        <w:t>2</w:t>
      </w:r>
      <w:r>
        <w:t xml:space="preserve">. Barrierene kan deles inn i tekniske-, regulatoriske- og økonomiske barrierer. </w:t>
      </w:r>
    </w:p>
    <w:p w:rsidR="00880768" w:rsidRDefault="00880768" w:rsidP="00880768">
      <w:r>
        <w:t>Regjeringen har en ambisjon om å realisere en kostnadseffektiv løsning for CO</w:t>
      </w:r>
      <w:r>
        <w:rPr>
          <w:rStyle w:val="skrift-senket"/>
          <w:spacing w:val="-1"/>
          <w:sz w:val="21"/>
          <w:szCs w:val="21"/>
        </w:rPr>
        <w:t>2</w:t>
      </w:r>
      <w:r>
        <w:t>-håndtering, gitt at dette gir teknologiutvikling i et internasjonalt perspektiv. For å finne ut hvordan en kan nå amb</w:t>
      </w:r>
      <w:r>
        <w:t>i</w:t>
      </w:r>
      <w:r>
        <w:t xml:space="preserve">sjonen er det gjennomført idéstudier, mulighetsstudier og konseptstudier av </w:t>
      </w:r>
      <w:proofErr w:type="gramStart"/>
      <w:r>
        <w:t>et</w:t>
      </w:r>
      <w:proofErr w:type="gramEnd"/>
      <w:r>
        <w:t xml:space="preserve"> fullskala CO</w:t>
      </w:r>
      <w:r>
        <w:rPr>
          <w:rStyle w:val="skrift-senket"/>
          <w:spacing w:val="-1"/>
          <w:sz w:val="21"/>
          <w:szCs w:val="21"/>
        </w:rPr>
        <w:t>2</w:t>
      </w:r>
      <w:r>
        <w:t>-håndteringsprosjekt. Konseptstudier for fangst og transport ble ferdigstilt høsten 2017. Ind</w:t>
      </w:r>
      <w:r>
        <w:t>u</w:t>
      </w:r>
      <w:r>
        <w:t>striaktørene avdekket ikke elementer som hindrer gjennomføring av prosjektet. Lagerdelen av pr</w:t>
      </w:r>
      <w:r>
        <w:t>o</w:t>
      </w:r>
      <w:r>
        <w:t>sjektet vil gjøre ferdig konseptstudien høsten 2018. I Prop. 85 S (2017–2018) redegjorde regj</w:t>
      </w:r>
      <w:r>
        <w:t>e</w:t>
      </w:r>
      <w:r>
        <w:t xml:space="preserve">ringen for status i arbeidet med </w:t>
      </w:r>
      <w:proofErr w:type="gramStart"/>
      <w:r>
        <w:t>et</w:t>
      </w:r>
      <w:proofErr w:type="gramEnd"/>
      <w:r>
        <w:t xml:space="preserve"> fullskala demonstrasjonsanlegg for fangst og lagring av CO</w:t>
      </w:r>
      <w:r>
        <w:rPr>
          <w:rStyle w:val="skrift-senket"/>
          <w:sz w:val="21"/>
          <w:szCs w:val="21"/>
        </w:rPr>
        <w:t>2</w:t>
      </w:r>
      <w:r>
        <w:t xml:space="preserve"> i Norge. </w:t>
      </w:r>
    </w:p>
    <w:p w:rsidR="00880768" w:rsidRDefault="00880768" w:rsidP="00880768">
      <w:r>
        <w:t>Av de tre fangstanleggene som er utredet og vurdert har Norcem så langt de beste forutsetningene for å gjennomføre et vellykket prosjekt. Norcem er tilbudt tilskudd til forprosjektering av CO</w:t>
      </w:r>
      <w:r>
        <w:rPr>
          <w:rStyle w:val="skrift-senket"/>
          <w:sz w:val="21"/>
          <w:szCs w:val="21"/>
        </w:rPr>
        <w:t>2</w:t>
      </w:r>
      <w:r>
        <w:t>-fangst på sementfabrikken i Brevik. Ut fra Fortum Oslo Varmes opprinnelige forslag ville ikke fangstprosjektet vært en reell konkurrent for de andre fangstaktørene. Fortum Oslo Varme var vurdert til å ha høyere kostnader og høyere gjennomføringsrisiko som ville økt faren for negativ demonstrasjonseffekt som kunne avskrekket mulige påfølgende CO</w:t>
      </w:r>
      <w:r>
        <w:rPr>
          <w:rStyle w:val="skrift-senket"/>
          <w:sz w:val="21"/>
          <w:szCs w:val="21"/>
        </w:rPr>
        <w:t>2</w:t>
      </w:r>
      <w:r>
        <w:t>-håndteringsprosjekter. Etter den opprinnelige kvalitetssikringen våren 2018 presenterte Fortum Oslo Varme nye opplysninger om prosjektet for Olje- og energidepartementet. Det ble gjennomført ekstern kvalitetssikring av disse opplysningene. Ekstern kvalitetssikrer ferdigstilte tilleggsrapporten med kvalitetssikring av CO</w:t>
      </w:r>
      <w:r>
        <w:rPr>
          <w:rStyle w:val="skrift-senket"/>
          <w:sz w:val="21"/>
          <w:szCs w:val="21"/>
        </w:rPr>
        <w:t>2</w:t>
      </w:r>
      <w:r>
        <w:t>-fangstprosjektet til Fortum Oslo Varme sommeren 2018. I følge ekstern kvalitetssikrer er Fortum Oslo Varmes prosjekt vesentlig styrket siden forrige vurdering. Kostnadsestimatene og usikkerheten knyttet til gjennomføringen av prosjektet er redusert. Prosjektet er nå vurdert å ligge nærmere Norcems fangstprosjekt og Fortum Oslo Varme er derfor tilbudt tilskudd til forprosjekt</w:t>
      </w:r>
      <w:r>
        <w:t>e</w:t>
      </w:r>
      <w:r>
        <w:t>ring av CO</w:t>
      </w:r>
      <w:r>
        <w:rPr>
          <w:rStyle w:val="skrift-senket"/>
          <w:sz w:val="21"/>
          <w:szCs w:val="21"/>
        </w:rPr>
        <w:t>2</w:t>
      </w:r>
      <w:r>
        <w:t>-fangst på energigjenvinningsanlegget på Klemetsrud. Yara er ikke tilbudt tilskudd til forprosjektering av CO</w:t>
      </w:r>
      <w:r>
        <w:rPr>
          <w:rStyle w:val="skrift-senket"/>
          <w:sz w:val="21"/>
          <w:szCs w:val="21"/>
        </w:rPr>
        <w:t>2</w:t>
      </w:r>
      <w:r>
        <w:t xml:space="preserve">-fangst fra ammoniakkfabrikken på Herøya, jf. Prop. 85 S (2017–2018). </w:t>
      </w:r>
    </w:p>
    <w:p w:rsidR="00880768" w:rsidRDefault="00880768" w:rsidP="00880768">
      <w:r>
        <w:t>Equinor vil i samarbeid med Shell og Total gjennomføre forprosjektering av transport og lagring av CO</w:t>
      </w:r>
      <w:r>
        <w:rPr>
          <w:rStyle w:val="skrift-senket"/>
          <w:sz w:val="21"/>
          <w:szCs w:val="21"/>
        </w:rPr>
        <w:t>2</w:t>
      </w:r>
      <w:r>
        <w:t>. Sommeren 2018 lyste Olje- og energidepartementet for første gang ut areal tilgjengelig for søknad om utnyttelsestillatelse for lagring av CO</w:t>
      </w:r>
      <w:r>
        <w:rPr>
          <w:rStyle w:val="skrift-senket"/>
          <w:sz w:val="21"/>
          <w:szCs w:val="21"/>
        </w:rPr>
        <w:t>2</w:t>
      </w:r>
      <w:r>
        <w:t xml:space="preserve"> på norsk kontinentalsokkel. Equinor, som sa</w:t>
      </w:r>
      <w:r>
        <w:t>m</w:t>
      </w:r>
      <w:r>
        <w:t>men med samarbeidspartnerne Shell og Total gjennomfører konsept- og forprosjektstudier for å vurdere muligheten for et CO</w:t>
      </w:r>
      <w:r>
        <w:rPr>
          <w:rStyle w:val="skrift-senket"/>
          <w:sz w:val="21"/>
          <w:szCs w:val="21"/>
        </w:rPr>
        <w:t>2</w:t>
      </w:r>
      <w:r>
        <w:t>-lager knyttet til en løsning med fullskala CO</w:t>
      </w:r>
      <w:r>
        <w:rPr>
          <w:rStyle w:val="skrift-senket"/>
          <w:sz w:val="21"/>
          <w:szCs w:val="21"/>
        </w:rPr>
        <w:t>2</w:t>
      </w:r>
      <w:r>
        <w:t>-håndtering, har levert inn søknad om utnyttelsestillatelse på et område i nærheten av Troll-feltet. Når forprosjektering er fullført og ekstern kvalitetssikring er gjennomført, vil regjeringen vurdere om et demonstrasjon</w:t>
      </w:r>
      <w:r>
        <w:t>s</w:t>
      </w:r>
      <w:r>
        <w:t>prosjekt bør realiseres. Regjeringens vurdering vil legges fram for Stortinget. En investeringsb</w:t>
      </w:r>
      <w:r>
        <w:t>e</w:t>
      </w:r>
      <w:r>
        <w:t>slutning kan etter den nåværende fremdriftsplanen bli fattet i 2020/2021.</w:t>
      </w:r>
    </w:p>
    <w:p w:rsidR="00880768" w:rsidRDefault="00880768" w:rsidP="00880768">
      <w:r>
        <w:t>Teknologisenteret på Mongstad (TCM) er en arena for utvikling, testing og kvalifisering av tekn</w:t>
      </w:r>
      <w:r>
        <w:t>o</w:t>
      </w:r>
      <w:r>
        <w:t>logi for CO</w:t>
      </w:r>
      <w:r>
        <w:rPr>
          <w:rStyle w:val="skrift-senket"/>
          <w:sz w:val="21"/>
          <w:szCs w:val="21"/>
        </w:rPr>
        <w:t>2</w:t>
      </w:r>
      <w:r>
        <w:t>-fangst. Det er stor internasjonal interesse for TCM. I alt har fem fangstteknologilev</w:t>
      </w:r>
      <w:r>
        <w:t>e</w:t>
      </w:r>
      <w:r>
        <w:t xml:space="preserve">randører gjennomført omfattende tester på TCM. I februar 2018 ble det klart at Det amerikanske energidepartementet (DOE) vil bevilge 33,7 mill. amerikanske dollar til fire nye prosjekter for avansert fangstteknologi hvor testingen etter planene skal utføres på TCM. </w:t>
      </w:r>
    </w:p>
    <w:p w:rsidR="00880768" w:rsidRDefault="00880768" w:rsidP="00880768">
      <w:r>
        <w:t>CLIMIT er et program som støtter utvikling og demonstrasjon av teknologi og løsninger for CO</w:t>
      </w:r>
      <w:r>
        <w:rPr>
          <w:rStyle w:val="skrift-senket"/>
          <w:sz w:val="21"/>
          <w:szCs w:val="21"/>
        </w:rPr>
        <w:t>2</w:t>
      </w:r>
      <w:r>
        <w:t xml:space="preserve">-håndtering. Regjeringens arbeid med </w:t>
      </w:r>
      <w:proofErr w:type="gramStart"/>
      <w:r>
        <w:t>et</w:t>
      </w:r>
      <w:proofErr w:type="gramEnd"/>
      <w:r>
        <w:t xml:space="preserve"> fullskala demonstrasjonsprosjekt har resultert i økt interesse og flere søknader fra industrien om støtte til CO</w:t>
      </w:r>
      <w:r>
        <w:rPr>
          <w:rStyle w:val="skrift-senket"/>
          <w:sz w:val="21"/>
          <w:szCs w:val="21"/>
        </w:rPr>
        <w:t>2</w:t>
      </w:r>
      <w:r>
        <w:t xml:space="preserve">-håndteringsprosjekter. Dette viser at </w:t>
      </w:r>
      <w:r>
        <w:lastRenderedPageBreak/>
        <w:t>fullskala demonstrasjonsprosjektet genererer ringvirkninger. Samtidig bidrar forskning gjenno</w:t>
      </w:r>
      <w:r>
        <w:t>m</w:t>
      </w:r>
      <w:r>
        <w:t xml:space="preserve">ført i CLIMIT til at fullskala demonstrasjonsprosjektet kan gjennomføres. </w:t>
      </w:r>
    </w:p>
    <w:p w:rsidR="00880768" w:rsidRDefault="00880768" w:rsidP="00880768">
      <w:pPr>
        <w:pStyle w:val="Undertittel"/>
      </w:pPr>
      <w:r>
        <w:t>Hovedmål for arbeidet med CO</w:t>
      </w:r>
      <w:r>
        <w:rPr>
          <w:rStyle w:val="skrift-senket"/>
          <w:sz w:val="21"/>
          <w:szCs w:val="21"/>
        </w:rPr>
        <w:t>2</w:t>
      </w:r>
      <w:r>
        <w:t xml:space="preserve">-håndtering </w:t>
      </w:r>
    </w:p>
    <w:p w:rsidR="00880768" w:rsidRDefault="00880768" w:rsidP="00880768">
      <w:r>
        <w:t>Det overordnede målet er å bidra til at CO</w:t>
      </w:r>
      <w:r>
        <w:rPr>
          <w:rStyle w:val="skrift-senket"/>
          <w:sz w:val="21"/>
          <w:szCs w:val="21"/>
        </w:rPr>
        <w:t>2</w:t>
      </w:r>
      <w:r>
        <w:t>-håndtering blir et kostnadseffektivt tiltak i arbeidet mot globale klimaendringer.</w:t>
      </w:r>
    </w:p>
    <w:p w:rsidR="00880768" w:rsidRDefault="00880768" w:rsidP="00880768">
      <w:r>
        <w:t>Regjeringen har en ambisjon om å realisere en kostnadseffektiv løsning for fullskala CO</w:t>
      </w:r>
      <w:r>
        <w:rPr>
          <w:rStyle w:val="skrift-senket"/>
          <w:sz w:val="21"/>
          <w:szCs w:val="21"/>
        </w:rPr>
        <w:t>2</w:t>
      </w:r>
      <w:r>
        <w:t>-håndtering i Norge, gitt at dette gir teknologiutvikling i et internasjonalt perspektiv. Regj</w:t>
      </w:r>
      <w:r>
        <w:t>e</w:t>
      </w:r>
      <w:r>
        <w:t>ringen presenterte sin strategi for arbeidet med CO</w:t>
      </w:r>
      <w:r>
        <w:rPr>
          <w:rStyle w:val="skrift-senket"/>
          <w:sz w:val="21"/>
          <w:szCs w:val="21"/>
        </w:rPr>
        <w:t>2</w:t>
      </w:r>
      <w:r>
        <w:t>-håndtering i Prop. 1 S (2014–2015) for Olje- og energidepartementet. Tiltakene i strategien omfatter forskning, utvikling og demonstrasjon og arbeidet med å realisere fullskalaprosjekt med spredningspotensial.</w:t>
      </w:r>
    </w:p>
    <w:p w:rsidR="00880768" w:rsidRDefault="00880768" w:rsidP="00880768">
      <w:r>
        <w:t>Strategien omfatter også internasjonalt arbeid for å fremme CO</w:t>
      </w:r>
      <w:r>
        <w:rPr>
          <w:rStyle w:val="skrift-senket"/>
          <w:sz w:val="21"/>
          <w:szCs w:val="21"/>
        </w:rPr>
        <w:t>2</w:t>
      </w:r>
      <w:r>
        <w:t>-håndtering. Målene for arbeidet med å realisere et demonstrasjonsprosjekt av CO</w:t>
      </w:r>
      <w:r>
        <w:rPr>
          <w:rStyle w:val="skrift-senket"/>
          <w:sz w:val="21"/>
          <w:szCs w:val="21"/>
        </w:rPr>
        <w:t>2</w:t>
      </w:r>
      <w:r>
        <w:t>-fangst og -lagring er ytterligere konkretisert i samfunns- og effektmål for prosjektet.</w:t>
      </w:r>
    </w:p>
    <w:p w:rsidR="00880768" w:rsidRDefault="00880768" w:rsidP="00880768">
      <w:r>
        <w:t>Olje- og energidepartementet har et ansvar for å bidra til at det overordnede målet nås. Viktige ro</w:t>
      </w:r>
      <w:r>
        <w:t>l</w:t>
      </w:r>
      <w:r>
        <w:t>ler og oppgaver er tildelt Norges forskningsråd og Gassnova SF som har som oppgave å fremme teknologiutvikling og kompetanseoppbygging for kostnadseffektive og framtidsrettede løsninger for CO</w:t>
      </w:r>
      <w:r>
        <w:rPr>
          <w:rStyle w:val="skrift-senket"/>
          <w:sz w:val="21"/>
          <w:szCs w:val="21"/>
        </w:rPr>
        <w:t>2</w:t>
      </w:r>
      <w:r>
        <w:t>-håndtering.</w:t>
      </w:r>
    </w:p>
    <w:p w:rsidR="00880768" w:rsidRDefault="00880768" w:rsidP="00880768">
      <w:pPr>
        <w:pStyle w:val="Undertittel"/>
      </w:pPr>
      <w:r>
        <w:t xml:space="preserve">Olje- og energidepartementets mål og oppgaver </w:t>
      </w:r>
    </w:p>
    <w:p w:rsidR="00880768" w:rsidRDefault="00880768" w:rsidP="00880768">
      <w:r>
        <w:t>Olje- og energidepartementet skal legge til rette for utvikling av teknologi for fangst, transport og lagring eller alternativ bruk av CO</w:t>
      </w:r>
      <w:r>
        <w:rPr>
          <w:rStyle w:val="skrift-senket"/>
          <w:sz w:val="21"/>
          <w:szCs w:val="21"/>
        </w:rPr>
        <w:t>2</w:t>
      </w:r>
      <w:r>
        <w:t xml:space="preserve"> som reduserer utslippene av klimagasser og som får bred a</w:t>
      </w:r>
      <w:r>
        <w:t>n</w:t>
      </w:r>
      <w:r>
        <w:t xml:space="preserve">vendelse. </w:t>
      </w:r>
    </w:p>
    <w:p w:rsidR="00880768" w:rsidRDefault="00880768" w:rsidP="00880768">
      <w:r>
        <w:t>Med bakgrunn i regjeringens strategi for CO</w:t>
      </w:r>
      <w:r>
        <w:rPr>
          <w:rStyle w:val="skrift-senket"/>
          <w:sz w:val="21"/>
          <w:szCs w:val="21"/>
        </w:rPr>
        <w:t>2</w:t>
      </w:r>
      <w:r>
        <w:t>-håndtering vil departementet bidra til gjennomføring av tiltak som reduserer kostnader og teknisk og økonomisk risiko knyttet til fangst, transport og -lagring av CO</w:t>
      </w:r>
      <w:r>
        <w:rPr>
          <w:rStyle w:val="skrift-senket"/>
          <w:sz w:val="21"/>
          <w:szCs w:val="21"/>
        </w:rPr>
        <w:t>2</w:t>
      </w:r>
      <w:r>
        <w:t>. Videre vil departementet legge til rette for en effektiv og helhetlig regulering av virksomheten.</w:t>
      </w:r>
    </w:p>
    <w:p w:rsidR="00880768" w:rsidRDefault="00880768" w:rsidP="00880768">
      <w:r>
        <w:t>Olje- og energidepartementet vil følge opp den videre planleggingen av et demonstrasjonsanlegg for fangst og lagring av CO</w:t>
      </w:r>
      <w:r>
        <w:rPr>
          <w:rStyle w:val="skrift-senket"/>
          <w:sz w:val="21"/>
          <w:szCs w:val="21"/>
        </w:rPr>
        <w:t xml:space="preserve">2. </w:t>
      </w:r>
      <w:r>
        <w:t>Det skal gjennomføres forhandlinger med industriaktørene om ra</w:t>
      </w:r>
      <w:r>
        <w:t>m</w:t>
      </w:r>
      <w:r>
        <w:t>mer for eventuell investering og drift av en hel CO</w:t>
      </w:r>
      <w:r>
        <w:rPr>
          <w:rStyle w:val="skrift-senket"/>
          <w:sz w:val="21"/>
          <w:szCs w:val="21"/>
        </w:rPr>
        <w:t>2</w:t>
      </w:r>
      <w:r>
        <w:t xml:space="preserve">-håndteringskjede. Videre skal departementet legge til rette for gevinstrealisering og følge opp forprosjekteringen. Et viktig mål for 2019 vil være å forberede investeringsbeslutning i prosjektet. </w:t>
      </w:r>
    </w:p>
    <w:p w:rsidR="00880768" w:rsidRDefault="00880768" w:rsidP="00880768">
      <w:r>
        <w:t xml:space="preserve">Olje- og energidepartementet vil vurdere </w:t>
      </w:r>
      <w:proofErr w:type="gramStart"/>
      <w:r>
        <w:t>og</w:t>
      </w:r>
      <w:proofErr w:type="gramEnd"/>
      <w:r>
        <w:t xml:space="preserve"> forberede ny avtale med TCM etter at nåværende a</w:t>
      </w:r>
      <w:r>
        <w:t>v</w:t>
      </w:r>
      <w:r>
        <w:t>tale løper ut i august 2020, herunder ny notifisering av statsstøtten til ESA.</w:t>
      </w:r>
    </w:p>
    <w:p w:rsidR="00880768" w:rsidRDefault="00880768" w:rsidP="00880768">
      <w:pPr>
        <w:pStyle w:val="Undertittel"/>
      </w:pPr>
      <w:r>
        <w:t>Olje- og energidepartementets resultatrapport for 2017</w:t>
      </w:r>
    </w:p>
    <w:p w:rsidR="00880768" w:rsidRDefault="00880768" w:rsidP="00880768">
      <w:r>
        <w:t>Departementet har i 2017 fulgt opp regjeringens strategi for arbeidet med CO</w:t>
      </w:r>
      <w:r>
        <w:rPr>
          <w:rStyle w:val="skrift-senket"/>
          <w:sz w:val="21"/>
          <w:szCs w:val="21"/>
        </w:rPr>
        <w:t>2</w:t>
      </w:r>
      <w:r>
        <w:t>-håndtering slik den er presentert i Olje- og energidepartementets Prop. 1 S (2014–2015).</w:t>
      </w:r>
    </w:p>
    <w:p w:rsidR="00880768" w:rsidRDefault="00880768" w:rsidP="00880768">
      <w:r>
        <w:t>Departementet har ivaretatt eieroppfølgingen av Gassnova SF, herunder foretakets forvaltning av statens eierinteresser i teknologisenteret for CO</w:t>
      </w:r>
      <w:r>
        <w:rPr>
          <w:rStyle w:val="skrift-senket"/>
          <w:sz w:val="21"/>
          <w:szCs w:val="21"/>
        </w:rPr>
        <w:t>2</w:t>
      </w:r>
      <w:r>
        <w:t>-fangst på Mongstad. Departementet har også hatt tett dialog med foretaket om oppfølgingen av arbeidet med å studere aktuelle prosjekter for ful</w:t>
      </w:r>
      <w:r>
        <w:t>l</w:t>
      </w:r>
      <w:r>
        <w:t>skala CO</w:t>
      </w:r>
      <w:r>
        <w:rPr>
          <w:rStyle w:val="skrift-senket"/>
          <w:sz w:val="21"/>
          <w:szCs w:val="21"/>
        </w:rPr>
        <w:t>2</w:t>
      </w:r>
      <w:r>
        <w:t>-håndtering i Norge.</w:t>
      </w:r>
    </w:p>
    <w:p w:rsidR="00880768" w:rsidRDefault="00880768" w:rsidP="00880768">
      <w:r>
        <w:t>Olje- og energidepartementet har arbeidet videre med modningen av fullskala CO</w:t>
      </w:r>
      <w:r>
        <w:rPr>
          <w:rStyle w:val="skrift-senket"/>
          <w:sz w:val="21"/>
          <w:szCs w:val="21"/>
        </w:rPr>
        <w:t>2</w:t>
      </w:r>
      <w:r>
        <w:t xml:space="preserve">-håndtering i Norge. Arbeidet ble besluttet videreført etter gjennomførte mulighetsstudier, og departementet ga </w:t>
      </w:r>
      <w:r>
        <w:lastRenderedPageBreak/>
        <w:t>Gassnova ansvaret for å lyse ut og sørge for gjennomføring av konseptstudier og forprosjektering for en hel CO</w:t>
      </w:r>
      <w:r>
        <w:rPr>
          <w:rStyle w:val="skrift-senket"/>
          <w:sz w:val="21"/>
          <w:szCs w:val="21"/>
        </w:rPr>
        <w:t>2</w:t>
      </w:r>
      <w:r>
        <w:t>-håndteringskjede med CO</w:t>
      </w:r>
      <w:r>
        <w:rPr>
          <w:rStyle w:val="skrift-senket"/>
          <w:sz w:val="21"/>
          <w:szCs w:val="21"/>
        </w:rPr>
        <w:t>2</w:t>
      </w:r>
      <w:r>
        <w:t xml:space="preserve">-fangst, -transport og -lagring. </w:t>
      </w:r>
    </w:p>
    <w:p w:rsidR="00880768" w:rsidRDefault="00880768" w:rsidP="00880768">
      <w:r>
        <w:t xml:space="preserve">Olje- og energidepartementet har arbeidet med de overordnede rammene for investering og drift av et norsk demonstrasjonsprosjekt og har gjennomført forhandlinger med industriaktørene. </w:t>
      </w:r>
    </w:p>
    <w:p w:rsidR="00880768" w:rsidRDefault="00880768" w:rsidP="00880768">
      <w:r>
        <w:t>Arbeidet med det norske demonstrasjonsprosjektet for fangst og lagring av CO</w:t>
      </w:r>
      <w:r>
        <w:rPr>
          <w:rStyle w:val="skrift-senket"/>
          <w:sz w:val="21"/>
          <w:szCs w:val="21"/>
        </w:rPr>
        <w:t>2</w:t>
      </w:r>
      <w:r>
        <w:t xml:space="preserve"> er underlagt statens ordning med ekstern kvalitetssikring (KS). KS1-rapporten ble lagt fram høsten 2016, og basert på anbefalinger i denne har departementet og Gassnova i 2017 arbeidet videre med å synliggjøre m</w:t>
      </w:r>
      <w:r>
        <w:t>u</w:t>
      </w:r>
      <w:r>
        <w:t>lige gevinster. Arbeidet med KS2-rapporten er delt opp i faser for å tilpasses prosjektets fre</w:t>
      </w:r>
      <w:r>
        <w:t>m</w:t>
      </w:r>
      <w:r>
        <w:t xml:space="preserve">driftsplan. Fase 1 av KS2 kvalitetssikringen ble fullført august 2017, mens arbeidet med fase 2 av KS2 startet november 2017. </w:t>
      </w:r>
    </w:p>
    <w:p w:rsidR="00880768" w:rsidRDefault="00880768" w:rsidP="00880768">
      <w:r>
        <w:t>Olje- og energidepartementet har deltatt som observatører i programstyret for CLIMIT, som er Norges forskningsråds og Gassnovas felles program for forskning, utvikling og demonstrasjon av CO</w:t>
      </w:r>
      <w:r>
        <w:rPr>
          <w:rStyle w:val="skrift-senket"/>
          <w:sz w:val="21"/>
          <w:szCs w:val="21"/>
        </w:rPr>
        <w:t>2</w:t>
      </w:r>
      <w:r>
        <w:t>-håndteringsteknologier.</w:t>
      </w:r>
    </w:p>
    <w:p w:rsidR="00880768" w:rsidRDefault="00880768" w:rsidP="00880768">
      <w:r>
        <w:t>Departementet har sammen med Utenriksdepartementet og relevante utenriksstasjoner fulgt opp handlingsplanen for å fremme utvikling og bruk av fangst og lagring av CO</w:t>
      </w:r>
      <w:r>
        <w:rPr>
          <w:rStyle w:val="skrift-senket"/>
          <w:spacing w:val="-1"/>
          <w:sz w:val="21"/>
          <w:szCs w:val="21"/>
        </w:rPr>
        <w:t xml:space="preserve">2 </w:t>
      </w:r>
      <w:r>
        <w:t xml:space="preserve">internasjonalt. </w:t>
      </w:r>
    </w:p>
    <w:p w:rsidR="00880768" w:rsidRDefault="00880768" w:rsidP="00880768">
      <w:r>
        <w:t>Departementet samarbeider tett med en rekke land gjennom internasjonale fora for å fremme fangst og lagring av CO</w:t>
      </w:r>
      <w:r>
        <w:rPr>
          <w:rStyle w:val="skrift-senket"/>
          <w:spacing w:val="2"/>
          <w:sz w:val="21"/>
          <w:szCs w:val="21"/>
        </w:rPr>
        <w:t>2</w:t>
      </w:r>
      <w:r>
        <w:t>. Dette gjelder blant annet The North Sea Basin Task Force, som er et sama</w:t>
      </w:r>
      <w:r>
        <w:t>r</w:t>
      </w:r>
      <w:r>
        <w:t>beidsforum der myndigheter og industri fra Norge, Storbritannia, Nederland, Tyskland og Flandern deltar. Forumet arbeider for felles prinsipper for sikker transport og lagring av CO</w:t>
      </w:r>
      <w:r>
        <w:rPr>
          <w:rStyle w:val="skrift-senket"/>
          <w:spacing w:val="2"/>
          <w:sz w:val="21"/>
          <w:szCs w:val="21"/>
        </w:rPr>
        <w:t>2</w:t>
      </w:r>
      <w:r>
        <w:t xml:space="preserve"> i Nordsjøba</w:t>
      </w:r>
      <w:r>
        <w:t>s</w:t>
      </w:r>
      <w:r>
        <w:t>senget. I 2017 ferdigstilte dette forumet arbeidet med en strategisk regional plan for CO</w:t>
      </w:r>
      <w:r>
        <w:rPr>
          <w:rStyle w:val="skrift-senket"/>
          <w:spacing w:val="2"/>
          <w:sz w:val="21"/>
          <w:szCs w:val="21"/>
        </w:rPr>
        <w:t>2</w:t>
      </w:r>
      <w:r>
        <w:t>-infrastruktur. Planen ble oversendt EU-kommisjonen og den dannet deler av grunnlaget for at EU-kommisjonen i 2017 vedtok fire såkalte «Projects of Common Interest» for CO</w:t>
      </w:r>
      <w:r>
        <w:rPr>
          <w:rStyle w:val="skrift-senket"/>
          <w:spacing w:val="2"/>
          <w:sz w:val="21"/>
          <w:szCs w:val="21"/>
        </w:rPr>
        <w:t>2</w:t>
      </w:r>
      <w:r>
        <w:t>-infrastruktur. Ett av disse prosjektene, som Equinor står bak, har som mål å utrede tekniske, økonomiske og jur</w:t>
      </w:r>
      <w:r>
        <w:t>i</w:t>
      </w:r>
      <w:r>
        <w:t>diske sider ved infrastruktur som er nødvendig for å knytte CO</w:t>
      </w:r>
      <w:r>
        <w:rPr>
          <w:rStyle w:val="skrift-senket"/>
          <w:spacing w:val="2"/>
          <w:sz w:val="21"/>
          <w:szCs w:val="21"/>
        </w:rPr>
        <w:t>2</w:t>
      </w:r>
      <w:r>
        <w:t>-kilder i hhv. Nederland og Sto</w:t>
      </w:r>
      <w:r>
        <w:t>r</w:t>
      </w:r>
      <w:r>
        <w:t xml:space="preserve">britannia til et lager på norsk sokkel. </w:t>
      </w:r>
    </w:p>
    <w:p w:rsidR="00880768" w:rsidRDefault="00880768" w:rsidP="00880768">
      <w:r>
        <w:t>Et annet sentralt multilateralt samarbeidsorgan er Carbon Sequestration Leadership Forum (CSLF), der Norge samarbeider med en rekke sentrale land, herunder USA, Canada, Australia og Sa</w:t>
      </w:r>
      <w:r>
        <w:t>u</w:t>
      </w:r>
      <w:r>
        <w:t>di-Arabia, for å fremme CO</w:t>
      </w:r>
      <w:r>
        <w:rPr>
          <w:rStyle w:val="skrift-senket"/>
          <w:sz w:val="21"/>
          <w:szCs w:val="21"/>
        </w:rPr>
        <w:t>2</w:t>
      </w:r>
      <w:r>
        <w:t>-håndtering.</w:t>
      </w:r>
    </w:p>
    <w:p w:rsidR="00880768" w:rsidRDefault="00880768" w:rsidP="00880768">
      <w:r>
        <w:t>Departementet var med på å opprette et nytt CO</w:t>
      </w:r>
      <w:r>
        <w:rPr>
          <w:rStyle w:val="skrift-senket"/>
          <w:sz w:val="21"/>
          <w:szCs w:val="21"/>
        </w:rPr>
        <w:t>2</w:t>
      </w:r>
      <w:r>
        <w:t>-håndteringsinitiativ under ministermøtet i Clean Energy Ministerial i København i mai 2017. Et sentralt formål er å styrke samarbeidet mellom o</w:t>
      </w:r>
      <w:r>
        <w:t>f</w:t>
      </w:r>
      <w:r>
        <w:t xml:space="preserve">fentlige og private aktører på feltet. </w:t>
      </w:r>
    </w:p>
    <w:p w:rsidR="00880768" w:rsidRDefault="00880768" w:rsidP="00880768">
      <w:r>
        <w:t>I forbindelse med klimaforhandlingene i Paris i desember 2015 (COP21), sluttet Norge seg til «Mission Innovation». Der samarbeider Norge med 23 andre land samt EU-kommisjonen for å påskynde teknologiutvikling og innovasjon innen ren energi, deriblant CO</w:t>
      </w:r>
      <w:r>
        <w:rPr>
          <w:rStyle w:val="skrift-senket"/>
          <w:sz w:val="21"/>
          <w:szCs w:val="21"/>
        </w:rPr>
        <w:t>2</w:t>
      </w:r>
      <w:r>
        <w:t>-håndtering. Videre samarbeider Norge tett med EU og deltar i en rekke av EUs organ og fora rettet mot blant annet utvikling av rammer og regelverk for sikker fangst og lagring av CO</w:t>
      </w:r>
      <w:r>
        <w:rPr>
          <w:rStyle w:val="skrift-senket"/>
          <w:sz w:val="21"/>
          <w:szCs w:val="21"/>
        </w:rPr>
        <w:t>2</w:t>
      </w:r>
      <w:r>
        <w:t xml:space="preserve"> i tillegg til generelt å fremme CO</w:t>
      </w:r>
      <w:r>
        <w:rPr>
          <w:rStyle w:val="skrift-senket"/>
          <w:sz w:val="21"/>
          <w:szCs w:val="21"/>
        </w:rPr>
        <w:t>2</w:t>
      </w:r>
      <w:r>
        <w:t>-håndtering som et klimatiltak.</w:t>
      </w:r>
    </w:p>
    <w:p w:rsidR="00880768" w:rsidRDefault="00880768" w:rsidP="00880768">
      <w:r>
        <w:t>Sammen med Forskningsrådet arbeider departementet for å få større oppmerksomhet om forskning, utvikling og demonstrasjon av nye teknologier for CO</w:t>
      </w:r>
      <w:r>
        <w:rPr>
          <w:rStyle w:val="skrift-senket"/>
          <w:sz w:val="21"/>
          <w:szCs w:val="21"/>
        </w:rPr>
        <w:t>2</w:t>
      </w:r>
      <w:r>
        <w:t>-håndtering, blant annet i forbindelse med utlysningsrundene i Horizon 2020.</w:t>
      </w:r>
    </w:p>
    <w:p w:rsidR="00880768" w:rsidRDefault="00880768" w:rsidP="00880768">
      <w:r>
        <w:t>Departementet har også deltatt i ledelsen av en arbeidsgruppe for CO</w:t>
      </w:r>
      <w:r>
        <w:rPr>
          <w:rStyle w:val="skrift-senket"/>
          <w:sz w:val="21"/>
          <w:szCs w:val="21"/>
        </w:rPr>
        <w:t>2</w:t>
      </w:r>
      <w:r>
        <w:t>-håndtering innenfor arbeidet i SET-planen (EUs Strategic Energy Technology Plan) og leder myndighetsgruppa for Zero Emi</w:t>
      </w:r>
      <w:r>
        <w:t>s</w:t>
      </w:r>
      <w:r>
        <w:t>sion Platform. Gruppen utarbeidet høsten 2017 en implementeringsplan for CO</w:t>
      </w:r>
      <w:r>
        <w:rPr>
          <w:rStyle w:val="skrift-senket"/>
          <w:sz w:val="21"/>
          <w:szCs w:val="21"/>
        </w:rPr>
        <w:t>2</w:t>
      </w:r>
      <w:r>
        <w:t>-håndtering i E</w:t>
      </w:r>
      <w:r>
        <w:t>u</w:t>
      </w:r>
      <w:r>
        <w:t xml:space="preserve">ropa og la planer for hvordan den skal følges opp av industri og myndigheter. </w:t>
      </w:r>
    </w:p>
    <w:p w:rsidR="00880768" w:rsidRDefault="00880768" w:rsidP="00880768">
      <w:r>
        <w:t>Departementet har sammen med blant annet Gassnova og Norges forskningsråd fulgt opp sama</w:t>
      </w:r>
      <w:r>
        <w:t>r</w:t>
      </w:r>
      <w:r>
        <w:t xml:space="preserve">beidsavtalen om forskning og teknologiutvikling mellom Olje- og energidepartementet og Det </w:t>
      </w:r>
      <w:r>
        <w:lastRenderedPageBreak/>
        <w:t>amerikanske energidepartementet (DOE). Det har blitt gjennomført bilaterale møter for å stimulere til flere samarbeidsprosjekter innenfor CO</w:t>
      </w:r>
      <w:r>
        <w:rPr>
          <w:rStyle w:val="skrift-senket"/>
          <w:sz w:val="21"/>
          <w:szCs w:val="21"/>
        </w:rPr>
        <w:t>2</w:t>
      </w:r>
      <w:r>
        <w:t>-håndtering mellom forskningsaktører og industri i be</w:t>
      </w:r>
      <w:r>
        <w:t>g</w:t>
      </w:r>
      <w:r>
        <w:t>ge land.</w:t>
      </w:r>
    </w:p>
    <w:p w:rsidR="00880768" w:rsidRDefault="00880768" w:rsidP="00880768">
      <w:pPr>
        <w:pStyle w:val="Undertittel"/>
      </w:pPr>
      <w:r>
        <w:t>Gassnova SF</w:t>
      </w:r>
    </w:p>
    <w:p w:rsidR="00880768" w:rsidRDefault="00880768" w:rsidP="00880768">
      <w:r>
        <w:t>Gassnova er et statsforetak som forvalter statens interesser knyttet til CO</w:t>
      </w:r>
      <w:r>
        <w:rPr>
          <w:rStyle w:val="skrift-senket"/>
          <w:sz w:val="21"/>
          <w:szCs w:val="21"/>
        </w:rPr>
        <w:t>2</w:t>
      </w:r>
      <w:r>
        <w:t>-håndtering. Foretaket er lokalisert i Porsgrunn. Det ble utført om lag 39 årsverk i 2017.</w:t>
      </w:r>
    </w:p>
    <w:p w:rsidR="00880768" w:rsidRDefault="00880768" w:rsidP="00880768">
      <w:pPr>
        <w:pStyle w:val="avsnitt-tittel"/>
      </w:pPr>
      <w:r>
        <w:t>Mål og oppgaver</w:t>
      </w:r>
    </w:p>
    <w:p w:rsidR="00880768" w:rsidRDefault="00880768" w:rsidP="00880768">
      <w:r>
        <w:t>Gassnovas hovedmål</w:t>
      </w:r>
      <w:r>
        <w:rPr>
          <w:rStyle w:val="halvfet0"/>
          <w:sz w:val="21"/>
          <w:szCs w:val="21"/>
        </w:rPr>
        <w:t xml:space="preserve"> </w:t>
      </w:r>
      <w:r>
        <w:t>er å fremme teknologiutvikling og kompetanseoppbygging for kostnadseffe</w:t>
      </w:r>
      <w:r>
        <w:t>k</w:t>
      </w:r>
      <w:r>
        <w:t>tive og framtidsrettede løsninger for CO</w:t>
      </w:r>
      <w:r>
        <w:rPr>
          <w:rStyle w:val="skrift-senket"/>
          <w:sz w:val="21"/>
          <w:szCs w:val="21"/>
        </w:rPr>
        <w:t>2</w:t>
      </w:r>
      <w:r>
        <w:t xml:space="preserve">-håndtering. </w:t>
      </w:r>
    </w:p>
    <w:p w:rsidR="00880768" w:rsidRDefault="00880768" w:rsidP="00880768">
      <w:pPr>
        <w:pStyle w:val="avsnitt-undertittel"/>
      </w:pPr>
      <w:r>
        <w:t>CLIMIT-Demo</w:t>
      </w:r>
    </w:p>
    <w:p w:rsidR="00880768" w:rsidRDefault="00880768" w:rsidP="00880768">
      <w:r>
        <w:t>Gassnova skal gjennom sitt ansvar for demonstrasjonsdelen av CLIMIT-programmet gi økonomisk støtte til utvikling og demonstrasjon av teknologier for CO</w:t>
      </w:r>
      <w:r>
        <w:rPr>
          <w:rStyle w:val="skrift-senket"/>
          <w:sz w:val="21"/>
          <w:szCs w:val="21"/>
        </w:rPr>
        <w:t>2</w:t>
      </w:r>
      <w:r>
        <w:t xml:space="preserve">-håndtering som bidrar til: </w:t>
      </w:r>
    </w:p>
    <w:p w:rsidR="00880768" w:rsidRDefault="00880768" w:rsidP="00880768">
      <w:pPr>
        <w:pStyle w:val="Liste"/>
      </w:pPr>
      <w:r>
        <w:t>utvikling av kunnskap, kompetanse, teknologi og løsninger som kan gi viktige bidrag til kostnadsreduksjoner og bred internasjonal utbredelse av CO</w:t>
      </w:r>
      <w:r>
        <w:rPr>
          <w:rStyle w:val="skrift-senket"/>
          <w:sz w:val="21"/>
          <w:szCs w:val="21"/>
        </w:rPr>
        <w:t>2</w:t>
      </w:r>
      <w:r>
        <w:t>-håndtering</w:t>
      </w:r>
    </w:p>
    <w:p w:rsidR="00880768" w:rsidRDefault="00880768" w:rsidP="00880768">
      <w:pPr>
        <w:pStyle w:val="Liste"/>
      </w:pPr>
      <w:r>
        <w:t>utnyttelse av nasjonale fortrinn og utvikling av ny teknologi og tjenestekonsepter med kommersielt og internasjonalt potensial</w:t>
      </w:r>
    </w:p>
    <w:p w:rsidR="00880768" w:rsidRDefault="00880768" w:rsidP="00880768">
      <w:pPr>
        <w:pStyle w:val="avsnitt-undertittel"/>
      </w:pPr>
      <w:r>
        <w:t>Teknologisenteret for CO</w:t>
      </w:r>
      <w:r>
        <w:rPr>
          <w:rStyle w:val="skrift-senket"/>
          <w:sz w:val="21"/>
          <w:szCs w:val="21"/>
        </w:rPr>
        <w:t>2</w:t>
      </w:r>
      <w:r>
        <w:t xml:space="preserve">-fangst på Mongstad </w:t>
      </w:r>
    </w:p>
    <w:p w:rsidR="00880768" w:rsidRDefault="00880768" w:rsidP="00880768">
      <w:r>
        <w:t>Teknologisenter for CO</w:t>
      </w:r>
      <w:r>
        <w:rPr>
          <w:rStyle w:val="skrift-senket"/>
          <w:sz w:val="21"/>
          <w:szCs w:val="21"/>
        </w:rPr>
        <w:t>2</w:t>
      </w:r>
      <w:r>
        <w:t>-fangst på Mongstad (TCM) skal bidra til teknologiutvikling og kvalifis</w:t>
      </w:r>
      <w:r>
        <w:t>e</w:t>
      </w:r>
      <w:r>
        <w:t>ring for økt utbredelse av CO</w:t>
      </w:r>
      <w:r>
        <w:rPr>
          <w:rStyle w:val="skrift-senket"/>
          <w:sz w:val="21"/>
          <w:szCs w:val="21"/>
        </w:rPr>
        <w:t>2</w:t>
      </w:r>
      <w:r>
        <w:t>-fangst globalt. Teknologisenteret har som mål å skape en arena for langsiktig og målrettet utvikling, testing og kvalifisering av teknologi for CO</w:t>
      </w:r>
      <w:r>
        <w:rPr>
          <w:rStyle w:val="skrift-senket"/>
          <w:sz w:val="21"/>
          <w:szCs w:val="21"/>
        </w:rPr>
        <w:t>2</w:t>
      </w:r>
      <w:r>
        <w:t>-fangst og bidra til internasjonal spredning av disse erfaringene, slik at kostnader og risiko for fullskala CO</w:t>
      </w:r>
      <w:r>
        <w:rPr>
          <w:rStyle w:val="skrift-senket"/>
          <w:sz w:val="21"/>
          <w:szCs w:val="21"/>
        </w:rPr>
        <w:t>2</w:t>
      </w:r>
      <w:r>
        <w:t xml:space="preserve">-fangst kan reduseres. </w:t>
      </w:r>
    </w:p>
    <w:p w:rsidR="00880768" w:rsidRDefault="00880768" w:rsidP="00880768">
      <w:r>
        <w:t>Gassnova skal:</w:t>
      </w:r>
    </w:p>
    <w:p w:rsidR="00880768" w:rsidRDefault="00880768" w:rsidP="00880768">
      <w:pPr>
        <w:pStyle w:val="Liste"/>
      </w:pPr>
      <w:r>
        <w:t>legge til rette for at statens deltakelse i teknologisenteret kan nyttiggjøres best mulig blant annet gjennom kunnskapsspredning og teknologiutbredelse, slik at kostnader og risiko ved fullskala CO</w:t>
      </w:r>
      <w:r>
        <w:rPr>
          <w:rStyle w:val="skrift-senket"/>
          <w:sz w:val="21"/>
          <w:szCs w:val="21"/>
        </w:rPr>
        <w:t>2</w:t>
      </w:r>
      <w:r>
        <w:t>-fangst kan reduseres</w:t>
      </w:r>
    </w:p>
    <w:p w:rsidR="00880768" w:rsidRDefault="00880768" w:rsidP="00880768">
      <w:pPr>
        <w:pStyle w:val="Liste"/>
      </w:pPr>
      <w:r>
        <w:t>legge til rette for en langsiktig og god utnyttelse av anleggene og den etablerte infrastru</w:t>
      </w:r>
      <w:r>
        <w:t>k</w:t>
      </w:r>
      <w:r>
        <w:t>turen</w:t>
      </w:r>
    </w:p>
    <w:p w:rsidR="00880768" w:rsidRDefault="00880768" w:rsidP="00880768">
      <w:pPr>
        <w:pStyle w:val="Liste"/>
      </w:pPr>
      <w:r>
        <w:t>redusere statens kostnader i TCM gjennom nye eiere, annen finansiering eller effektivisering av driften</w:t>
      </w:r>
    </w:p>
    <w:p w:rsidR="00880768" w:rsidRDefault="00880768" w:rsidP="00880768">
      <w:pPr>
        <w:pStyle w:val="Liste"/>
      </w:pPr>
      <w:r>
        <w:t xml:space="preserve">forberede ny avtaleperiode for TCM </w:t>
      </w:r>
    </w:p>
    <w:p w:rsidR="00880768" w:rsidRDefault="00880768" w:rsidP="00880768">
      <w:pPr>
        <w:pStyle w:val="avsnitt-undertittel"/>
      </w:pPr>
      <w:r>
        <w:t>Fullskala CO</w:t>
      </w:r>
      <w:r>
        <w:rPr>
          <w:rStyle w:val="skrift-senket"/>
          <w:sz w:val="21"/>
          <w:szCs w:val="21"/>
        </w:rPr>
        <w:t>2</w:t>
      </w:r>
      <w:r>
        <w:t>-håndtering</w:t>
      </w:r>
    </w:p>
    <w:p w:rsidR="00880768" w:rsidRDefault="00880768" w:rsidP="00880768">
      <w:r>
        <w:t>Gassnova skal følge opp forprosjekteringen av transport, lagring og to fangstanlegg for CO</w:t>
      </w:r>
      <w:r>
        <w:rPr>
          <w:rStyle w:val="skrift-senket"/>
          <w:sz w:val="21"/>
          <w:szCs w:val="21"/>
        </w:rPr>
        <w:t>2</w:t>
      </w:r>
      <w:r>
        <w:t>. Vid</w:t>
      </w:r>
      <w:r>
        <w:t>e</w:t>
      </w:r>
      <w:r>
        <w:t>re skal Gassnova arbeide med gevinstrealisering og støtte departementet i forhandlingene om ra</w:t>
      </w:r>
      <w:r>
        <w:t>m</w:t>
      </w:r>
      <w:r>
        <w:t>mer for investering og drift av et fullskalaprosjekt. Gassnova skal også forberede underlag for i</w:t>
      </w:r>
      <w:r>
        <w:t>n</w:t>
      </w:r>
      <w:r>
        <w:t>vesteringsbeslutning for fullskala CO</w:t>
      </w:r>
      <w:r>
        <w:rPr>
          <w:rStyle w:val="skrift-senket"/>
          <w:sz w:val="21"/>
          <w:szCs w:val="21"/>
        </w:rPr>
        <w:t>2</w:t>
      </w:r>
      <w:r>
        <w:t>-håndteringsprosjektet.</w:t>
      </w:r>
    </w:p>
    <w:p w:rsidR="00880768" w:rsidRDefault="00880768" w:rsidP="00880768">
      <w:pPr>
        <w:pStyle w:val="avsnitt-tittel"/>
      </w:pPr>
      <w:r>
        <w:lastRenderedPageBreak/>
        <w:t>Resultatrapport 2017</w:t>
      </w:r>
    </w:p>
    <w:p w:rsidR="00880768" w:rsidRDefault="00880768" w:rsidP="00880768">
      <w:r>
        <w:t>Morselskapet Gassnova SF hadde et positivt årsresultat på om lag 1,8 mill. kroner, mens konsernet hadde et negativt årsresultat på om lag 3,6 mill. kroner, som ble dekket av annen egenkapital. A</w:t>
      </w:r>
      <w:r>
        <w:t>n</w:t>
      </w:r>
      <w:r>
        <w:t>nen egenkapital var om lag 35,3 mill. kroner per 31. desember 2017.</w:t>
      </w:r>
    </w:p>
    <w:p w:rsidR="00880768" w:rsidRDefault="00880768" w:rsidP="00880768">
      <w:r>
        <w:t>Gassnova har i 2017 arbeidet videre med å rekruttere nye industrielle eiere til TCM og nye brukere til aminanlegget ved TCM og fremforhandlet en ny avtale om videre drift av TCM. Arbeidet med å rekruttere nye eiere førte til at Total kom inn på eiersiden av TCM. Den nye avtalen med Equinor, Total og Shell sikrer videre drift av TCM til august 2020.</w:t>
      </w:r>
    </w:p>
    <w:p w:rsidR="00880768" w:rsidRDefault="00880768" w:rsidP="00880768">
      <w:r>
        <w:t>Oppfølging av arbeidet med fullskala CO</w:t>
      </w:r>
      <w:r>
        <w:rPr>
          <w:rStyle w:val="skrift-senket"/>
          <w:sz w:val="21"/>
          <w:szCs w:val="21"/>
        </w:rPr>
        <w:t>2</w:t>
      </w:r>
      <w:r>
        <w:t>-håndtering var en sentral del av Gassnovas arbeid i 2017. Gassnova har hatt ansvaret for gjennomføring av konseptstudier og tildelt støtte til studier av CO</w:t>
      </w:r>
      <w:r>
        <w:rPr>
          <w:rStyle w:val="skrift-senket"/>
          <w:sz w:val="21"/>
          <w:szCs w:val="21"/>
        </w:rPr>
        <w:t>2</w:t>
      </w:r>
      <w:r>
        <w:t>-fangst og CO</w:t>
      </w:r>
      <w:r>
        <w:rPr>
          <w:rStyle w:val="skrift-senket"/>
          <w:sz w:val="21"/>
          <w:szCs w:val="21"/>
        </w:rPr>
        <w:t>2</w:t>
      </w:r>
      <w:r>
        <w:t>-lager. Fortum Oslo Varme, Norcem og Yara ble våren 2017 tildelt kontrakter for å gjennomføre konsept- og forprosjekteringsstudier for CO</w:t>
      </w:r>
      <w:r>
        <w:rPr>
          <w:rStyle w:val="skrift-senket"/>
          <w:sz w:val="21"/>
          <w:szCs w:val="21"/>
        </w:rPr>
        <w:t>2</w:t>
      </w:r>
      <w:r>
        <w:t>-fangst ved sine anlegg. Konsep</w:t>
      </w:r>
      <w:r>
        <w:t>t</w:t>
      </w:r>
      <w:r>
        <w:t xml:space="preserve">studiene ble ferdigstilt som planlagt høsten 2017. </w:t>
      </w:r>
    </w:p>
    <w:p w:rsidR="00880768" w:rsidRDefault="00880768" w:rsidP="00880768">
      <w:r>
        <w:t>Equinor ASA ble sommeren 2017 tildelt kontrakt for konsept- og forprosjekteringsstudier av CO</w:t>
      </w:r>
      <w:r>
        <w:rPr>
          <w:rStyle w:val="skrift-senket"/>
          <w:sz w:val="21"/>
          <w:szCs w:val="21"/>
        </w:rPr>
        <w:t>2</w:t>
      </w:r>
      <w:r>
        <w:t>-lager. Høsten 2017 inngikk Equinor en partnerskapsavtale med Shell og Total om utvikling av et CO</w:t>
      </w:r>
      <w:r>
        <w:rPr>
          <w:rStyle w:val="skrift-senket"/>
          <w:sz w:val="21"/>
          <w:szCs w:val="21"/>
        </w:rPr>
        <w:t>2</w:t>
      </w:r>
      <w:r>
        <w:t>-lager på norsk kontinentalsokkel. Konseptstudien for lager skal etter planen ferdigstilles høsten 2018.</w:t>
      </w:r>
    </w:p>
    <w:p w:rsidR="00880768" w:rsidRDefault="00880768" w:rsidP="00880768">
      <w:r>
        <w:t>Gassco har hatt ansvaret for transportdelen av prosjektet i konseptfasen. Brevik Engineering og Larvik Shipping har gjennomført konseptstudier om skipstransport av CO</w:t>
      </w:r>
      <w:r>
        <w:rPr>
          <w:rStyle w:val="skrift-senket"/>
          <w:sz w:val="21"/>
          <w:szCs w:val="21"/>
        </w:rPr>
        <w:t>2</w:t>
      </w:r>
      <w:r>
        <w:t xml:space="preserve">. Konseptstudien ble levert høsten 2017. </w:t>
      </w:r>
    </w:p>
    <w:p w:rsidR="00880768" w:rsidRDefault="00880768" w:rsidP="00880768">
      <w:r>
        <w:t>Gassnova har arbeidet for å sikre samordning av studiearbeider, modning av grensesnitt mellom aktørene og optimering på tvers av CO</w:t>
      </w:r>
      <w:r>
        <w:rPr>
          <w:rStyle w:val="skrift-senket"/>
          <w:sz w:val="21"/>
          <w:szCs w:val="21"/>
        </w:rPr>
        <w:t>2</w:t>
      </w:r>
      <w:r>
        <w:t>-håndteringskjeden. Det er opprettet en teknisk komité for alle industriaktørene i prosjektet. Komitéen har arbeidet med risiko og muligheter knyttet til gre</w:t>
      </w:r>
      <w:r>
        <w:t>n</w:t>
      </w:r>
      <w:r>
        <w:t>sesnittene og helheten i CO</w:t>
      </w:r>
      <w:r>
        <w:rPr>
          <w:rStyle w:val="skrift-senket"/>
          <w:sz w:val="21"/>
          <w:szCs w:val="21"/>
        </w:rPr>
        <w:t>2</w:t>
      </w:r>
      <w:r>
        <w:t>-håndteringskjeden. Gassnova har i samarbeid med Equinor tatt initi</w:t>
      </w:r>
      <w:r>
        <w:t>a</w:t>
      </w:r>
      <w:r>
        <w:t>tiv til en logistikkstudie på transport og mellomlagring av CO</w:t>
      </w:r>
      <w:r>
        <w:rPr>
          <w:rStyle w:val="skrift-senket"/>
          <w:sz w:val="21"/>
          <w:szCs w:val="21"/>
        </w:rPr>
        <w:t>2</w:t>
      </w:r>
      <w:r>
        <w:t xml:space="preserve"> på tvers av kjeden.</w:t>
      </w:r>
    </w:p>
    <w:p w:rsidR="00880768" w:rsidRDefault="00880768" w:rsidP="00880768">
      <w:pPr>
        <w:pStyle w:val="b-budkaptit"/>
      </w:pPr>
      <w:r>
        <w:t>Kap. 1840 CO</w:t>
      </w:r>
      <w:r>
        <w:rPr>
          <w:rStyle w:val="skrift-senket"/>
          <w:sz w:val="26"/>
          <w:szCs w:val="26"/>
        </w:rPr>
        <w:t>2</w:t>
      </w:r>
      <w:r>
        <w:t>-håndtering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880768" w:rsidTr="00EC47F5">
        <w:trPr>
          <w:trHeight w:val="640"/>
        </w:trPr>
        <w:tc>
          <w:tcPr>
            <w:tcW w:w="1140" w:type="dxa"/>
            <w:shd w:val="clear" w:color="auto" w:fill="FFFFFF"/>
          </w:tcPr>
          <w:p w:rsidR="00880768" w:rsidRDefault="00880768" w:rsidP="00EC47F5">
            <w:pPr>
              <w:pStyle w:val="Tabellnavn"/>
            </w:pPr>
            <w:r>
              <w:t>KPAL</w:t>
            </w:r>
          </w:p>
        </w:tc>
        <w:tc>
          <w:tcPr>
            <w:tcW w:w="4560" w:type="dxa"/>
          </w:tcPr>
          <w:p w:rsidR="00880768" w:rsidRDefault="00880768" w:rsidP="00EC47F5">
            <w:pPr>
              <w:pStyle w:val="Tabellnavn"/>
            </w:pPr>
          </w:p>
        </w:tc>
        <w:tc>
          <w:tcPr>
            <w:tcW w:w="1140" w:type="dxa"/>
          </w:tcPr>
          <w:p w:rsidR="00880768" w:rsidRDefault="00880768" w:rsidP="00EC47F5">
            <w:pPr>
              <w:pStyle w:val="Tabellnavn"/>
              <w:jc w:val="right"/>
            </w:pPr>
          </w:p>
        </w:tc>
        <w:tc>
          <w:tcPr>
            <w:tcW w:w="1140" w:type="dxa"/>
          </w:tcPr>
          <w:p w:rsidR="00880768" w:rsidRDefault="00880768" w:rsidP="00EC47F5">
            <w:pPr>
              <w:pStyle w:val="Tabellnavn"/>
              <w:jc w:val="right"/>
            </w:pPr>
          </w:p>
        </w:tc>
        <w:tc>
          <w:tcPr>
            <w:tcW w:w="1140" w:type="dxa"/>
          </w:tcPr>
          <w:p w:rsidR="00880768" w:rsidRDefault="00880768" w:rsidP="00EC47F5">
            <w:pPr>
              <w:jc w:val="right"/>
            </w:pPr>
            <w:r>
              <w:t>(i 1 000 kr)</w:t>
            </w:r>
          </w:p>
        </w:tc>
      </w:tr>
      <w:tr w:rsidR="00880768" w:rsidTr="00EC47F5">
        <w:trPr>
          <w:trHeight w:val="600"/>
        </w:trPr>
        <w:tc>
          <w:tcPr>
            <w:tcW w:w="1140" w:type="dxa"/>
          </w:tcPr>
          <w:p w:rsidR="00880768" w:rsidRDefault="00880768" w:rsidP="00EC47F5">
            <w:r>
              <w:t>Post</w:t>
            </w:r>
          </w:p>
        </w:tc>
        <w:tc>
          <w:tcPr>
            <w:tcW w:w="4560" w:type="dxa"/>
          </w:tcPr>
          <w:p w:rsidR="00880768" w:rsidRDefault="00880768" w:rsidP="00EC47F5">
            <w:r>
              <w:t>Betegnelse</w:t>
            </w:r>
          </w:p>
        </w:tc>
        <w:tc>
          <w:tcPr>
            <w:tcW w:w="1140" w:type="dxa"/>
          </w:tcPr>
          <w:p w:rsidR="00880768" w:rsidRDefault="00880768" w:rsidP="00EC47F5">
            <w:pPr>
              <w:jc w:val="right"/>
            </w:pPr>
            <w:r>
              <w:t>Reg</w:t>
            </w:r>
            <w:r>
              <w:t>n</w:t>
            </w:r>
            <w:r>
              <w:t>skap 2017</w:t>
            </w:r>
          </w:p>
        </w:tc>
        <w:tc>
          <w:tcPr>
            <w:tcW w:w="1140" w:type="dxa"/>
          </w:tcPr>
          <w:p w:rsidR="00880768" w:rsidRDefault="00880768" w:rsidP="00EC47F5">
            <w:pPr>
              <w:jc w:val="right"/>
            </w:pPr>
            <w:r>
              <w:t xml:space="preserve">Saldert </w:t>
            </w:r>
            <w:r>
              <w:rPr>
                <w:sz w:val="22"/>
              </w:rPr>
              <w:br/>
            </w:r>
            <w:r>
              <w:t>budsjett 2018</w:t>
            </w:r>
          </w:p>
        </w:tc>
        <w:tc>
          <w:tcPr>
            <w:tcW w:w="1140" w:type="dxa"/>
          </w:tcPr>
          <w:p w:rsidR="00880768" w:rsidRDefault="00880768" w:rsidP="00EC47F5">
            <w:pPr>
              <w:jc w:val="right"/>
            </w:pPr>
            <w:r>
              <w:t xml:space="preserve">Forslag </w:t>
            </w:r>
            <w:r>
              <w:rPr>
                <w:sz w:val="22"/>
              </w:rPr>
              <w:br/>
            </w:r>
            <w:r>
              <w:t>2019</w:t>
            </w:r>
          </w:p>
        </w:tc>
      </w:tr>
      <w:tr w:rsidR="00880768" w:rsidTr="00EC47F5">
        <w:trPr>
          <w:trHeight w:val="640"/>
        </w:trPr>
        <w:tc>
          <w:tcPr>
            <w:tcW w:w="1140" w:type="dxa"/>
          </w:tcPr>
          <w:p w:rsidR="00880768" w:rsidRDefault="00880768" w:rsidP="00EC47F5">
            <w:r>
              <w:t>21</w:t>
            </w:r>
          </w:p>
        </w:tc>
        <w:tc>
          <w:tcPr>
            <w:tcW w:w="4560" w:type="dxa"/>
          </w:tcPr>
          <w:p w:rsidR="00880768" w:rsidRDefault="00880768" w:rsidP="00EC47F5">
            <w:r>
              <w:t>Spesielle driftsutgifter</w:t>
            </w:r>
            <w:r>
              <w:rPr>
                <w:rStyle w:val="kursiv"/>
                <w:sz w:val="21"/>
                <w:szCs w:val="21"/>
              </w:rPr>
              <w:t xml:space="preserve">, kan overføres, </w:t>
            </w:r>
            <w:r>
              <w:rPr>
                <w:rStyle w:val="kursiv"/>
                <w:sz w:val="21"/>
                <w:szCs w:val="21"/>
              </w:rPr>
              <w:br/>
              <w:t xml:space="preserve">kan nyttes under postene 70 og 72 </w:t>
            </w:r>
          </w:p>
        </w:tc>
        <w:tc>
          <w:tcPr>
            <w:tcW w:w="1140" w:type="dxa"/>
          </w:tcPr>
          <w:p w:rsidR="00880768" w:rsidRDefault="00880768" w:rsidP="00EC47F5">
            <w:pPr>
              <w:jc w:val="right"/>
            </w:pPr>
            <w:r>
              <w:t>7 116</w:t>
            </w:r>
          </w:p>
        </w:tc>
        <w:tc>
          <w:tcPr>
            <w:tcW w:w="1140" w:type="dxa"/>
          </w:tcPr>
          <w:p w:rsidR="00880768" w:rsidRDefault="00880768" w:rsidP="00EC47F5">
            <w:pPr>
              <w:jc w:val="right"/>
            </w:pPr>
            <w:r>
              <w:t>4 491</w:t>
            </w:r>
          </w:p>
        </w:tc>
        <w:tc>
          <w:tcPr>
            <w:tcW w:w="1140" w:type="dxa"/>
          </w:tcPr>
          <w:p w:rsidR="00880768" w:rsidRDefault="00880768" w:rsidP="00EC47F5">
            <w:pPr>
              <w:jc w:val="right"/>
            </w:pPr>
          </w:p>
        </w:tc>
      </w:tr>
      <w:tr w:rsidR="00880768" w:rsidTr="00EC47F5">
        <w:trPr>
          <w:trHeight w:val="640"/>
        </w:trPr>
        <w:tc>
          <w:tcPr>
            <w:tcW w:w="1140" w:type="dxa"/>
          </w:tcPr>
          <w:p w:rsidR="00880768" w:rsidRDefault="00880768" w:rsidP="00EC47F5">
            <w:r>
              <w:t>50</w:t>
            </w:r>
          </w:p>
        </w:tc>
        <w:tc>
          <w:tcPr>
            <w:tcW w:w="4560" w:type="dxa"/>
          </w:tcPr>
          <w:p w:rsidR="00880768" w:rsidRDefault="00880768" w:rsidP="00EC47F5">
            <w:r>
              <w:t xml:space="preserve">Forskning, utvikling og demonstrasjon av </w:t>
            </w:r>
            <w:r>
              <w:rPr>
                <w:sz w:val="22"/>
              </w:rPr>
              <w:br/>
            </w:r>
            <w:r>
              <w:t>CO</w:t>
            </w:r>
            <w:r>
              <w:rPr>
                <w:rStyle w:val="skrift-senket"/>
                <w:sz w:val="21"/>
                <w:szCs w:val="21"/>
              </w:rPr>
              <w:t>2</w:t>
            </w:r>
            <w:r>
              <w:t xml:space="preserve">-håndtering </w:t>
            </w:r>
          </w:p>
        </w:tc>
        <w:tc>
          <w:tcPr>
            <w:tcW w:w="1140" w:type="dxa"/>
          </w:tcPr>
          <w:p w:rsidR="00880768" w:rsidRDefault="00880768" w:rsidP="00EC47F5">
            <w:pPr>
              <w:jc w:val="right"/>
            </w:pPr>
            <w:r>
              <w:t>199 236</w:t>
            </w:r>
          </w:p>
        </w:tc>
        <w:tc>
          <w:tcPr>
            <w:tcW w:w="1140" w:type="dxa"/>
          </w:tcPr>
          <w:p w:rsidR="00880768" w:rsidRDefault="00880768" w:rsidP="00EC47F5">
            <w:pPr>
              <w:jc w:val="right"/>
            </w:pPr>
            <w:r>
              <w:t>182 101</w:t>
            </w:r>
          </w:p>
        </w:tc>
        <w:tc>
          <w:tcPr>
            <w:tcW w:w="1140" w:type="dxa"/>
          </w:tcPr>
          <w:p w:rsidR="00880768" w:rsidRDefault="00880768" w:rsidP="00EC47F5">
            <w:pPr>
              <w:jc w:val="right"/>
            </w:pPr>
            <w:r>
              <w:t>186 500</w:t>
            </w:r>
          </w:p>
        </w:tc>
      </w:tr>
      <w:tr w:rsidR="00880768" w:rsidTr="00EC47F5">
        <w:trPr>
          <w:trHeight w:val="640"/>
        </w:trPr>
        <w:tc>
          <w:tcPr>
            <w:tcW w:w="1140" w:type="dxa"/>
          </w:tcPr>
          <w:p w:rsidR="00880768" w:rsidRDefault="00880768" w:rsidP="00EC47F5">
            <w:r>
              <w:t>70</w:t>
            </w:r>
          </w:p>
        </w:tc>
        <w:tc>
          <w:tcPr>
            <w:tcW w:w="4560" w:type="dxa"/>
          </w:tcPr>
          <w:p w:rsidR="00880768" w:rsidRDefault="00880768" w:rsidP="00EC47F5">
            <w:r>
              <w:t>Administrasjon, Gassnova SF</w:t>
            </w:r>
            <w:r>
              <w:rPr>
                <w:rStyle w:val="kursiv"/>
                <w:sz w:val="21"/>
                <w:szCs w:val="21"/>
              </w:rPr>
              <w:t xml:space="preserve">, kan overføres, </w:t>
            </w:r>
            <w:r>
              <w:rPr>
                <w:rStyle w:val="kursiv"/>
                <w:sz w:val="21"/>
                <w:szCs w:val="21"/>
              </w:rPr>
              <w:br/>
              <w:t xml:space="preserve">kan nyttes under post 72 </w:t>
            </w:r>
          </w:p>
        </w:tc>
        <w:tc>
          <w:tcPr>
            <w:tcW w:w="1140" w:type="dxa"/>
          </w:tcPr>
          <w:p w:rsidR="00880768" w:rsidRDefault="00880768" w:rsidP="00EC47F5">
            <w:pPr>
              <w:jc w:val="right"/>
            </w:pPr>
            <w:r>
              <w:t>284 100</w:t>
            </w:r>
          </w:p>
        </w:tc>
        <w:tc>
          <w:tcPr>
            <w:tcW w:w="1140" w:type="dxa"/>
          </w:tcPr>
          <w:p w:rsidR="00880768" w:rsidRDefault="00880768" w:rsidP="00EC47F5">
            <w:pPr>
              <w:jc w:val="right"/>
            </w:pPr>
            <w:r>
              <w:t>106 127</w:t>
            </w:r>
          </w:p>
        </w:tc>
        <w:tc>
          <w:tcPr>
            <w:tcW w:w="1140" w:type="dxa"/>
          </w:tcPr>
          <w:p w:rsidR="00880768" w:rsidRDefault="00880768" w:rsidP="00EC47F5">
            <w:pPr>
              <w:jc w:val="right"/>
            </w:pPr>
            <w:r>
              <w:t>126 000</w:t>
            </w:r>
          </w:p>
        </w:tc>
      </w:tr>
      <w:tr w:rsidR="00880768" w:rsidTr="00EC47F5">
        <w:trPr>
          <w:trHeight w:val="640"/>
        </w:trPr>
        <w:tc>
          <w:tcPr>
            <w:tcW w:w="1140" w:type="dxa"/>
          </w:tcPr>
          <w:p w:rsidR="00880768" w:rsidRDefault="00880768" w:rsidP="00EC47F5">
            <w:r>
              <w:t>71</w:t>
            </w:r>
          </w:p>
        </w:tc>
        <w:tc>
          <w:tcPr>
            <w:tcW w:w="4560" w:type="dxa"/>
          </w:tcPr>
          <w:p w:rsidR="00880768" w:rsidRDefault="00880768" w:rsidP="00EC47F5">
            <w:r>
              <w:t>Tilskudd til Teknologisenter for CO</w:t>
            </w:r>
            <w:r>
              <w:rPr>
                <w:rStyle w:val="skrift-senket"/>
                <w:sz w:val="21"/>
                <w:szCs w:val="21"/>
              </w:rPr>
              <w:t>2</w:t>
            </w:r>
            <w:r>
              <w:t xml:space="preserve">-fangst på Mongstad </w:t>
            </w:r>
          </w:p>
        </w:tc>
        <w:tc>
          <w:tcPr>
            <w:tcW w:w="1140" w:type="dxa"/>
          </w:tcPr>
          <w:p w:rsidR="00880768" w:rsidRDefault="00880768" w:rsidP="00EC47F5">
            <w:pPr>
              <w:jc w:val="right"/>
            </w:pPr>
            <w:r>
              <w:t>515 588</w:t>
            </w:r>
          </w:p>
        </w:tc>
        <w:tc>
          <w:tcPr>
            <w:tcW w:w="1140" w:type="dxa"/>
          </w:tcPr>
          <w:p w:rsidR="00880768" w:rsidRDefault="00880768" w:rsidP="00EC47F5">
            <w:pPr>
              <w:jc w:val="right"/>
            </w:pPr>
            <w:r>
              <w:t>195 000</w:t>
            </w:r>
          </w:p>
        </w:tc>
        <w:tc>
          <w:tcPr>
            <w:tcW w:w="1140" w:type="dxa"/>
          </w:tcPr>
          <w:p w:rsidR="00880768" w:rsidRDefault="00880768" w:rsidP="00EC47F5">
            <w:pPr>
              <w:jc w:val="right"/>
            </w:pPr>
            <w:r>
              <w:t>208 000</w:t>
            </w:r>
          </w:p>
        </w:tc>
      </w:tr>
      <w:tr w:rsidR="00880768" w:rsidTr="00EC47F5">
        <w:trPr>
          <w:trHeight w:val="640"/>
        </w:trPr>
        <w:tc>
          <w:tcPr>
            <w:tcW w:w="1140" w:type="dxa"/>
          </w:tcPr>
          <w:p w:rsidR="00880768" w:rsidRDefault="00880768" w:rsidP="00EC47F5">
            <w:r>
              <w:t>72</w:t>
            </w:r>
          </w:p>
        </w:tc>
        <w:tc>
          <w:tcPr>
            <w:tcW w:w="4560" w:type="dxa"/>
          </w:tcPr>
          <w:p w:rsidR="00880768" w:rsidRDefault="00880768" w:rsidP="00EC47F5">
            <w:r>
              <w:t>Fullskala CO</w:t>
            </w:r>
            <w:r>
              <w:rPr>
                <w:rStyle w:val="skrift-senket"/>
                <w:sz w:val="21"/>
                <w:szCs w:val="21"/>
              </w:rPr>
              <w:t>2</w:t>
            </w:r>
            <w:r>
              <w:t>-håndtering</w:t>
            </w:r>
            <w:r>
              <w:rPr>
                <w:rStyle w:val="kursiv"/>
                <w:sz w:val="21"/>
                <w:szCs w:val="21"/>
              </w:rPr>
              <w:t xml:space="preserve">, kan overføres, </w:t>
            </w:r>
            <w:r>
              <w:rPr>
                <w:rStyle w:val="kursiv"/>
                <w:sz w:val="21"/>
                <w:szCs w:val="21"/>
              </w:rPr>
              <w:br/>
              <w:t xml:space="preserve">kan nyttes under post 70 </w:t>
            </w:r>
          </w:p>
        </w:tc>
        <w:tc>
          <w:tcPr>
            <w:tcW w:w="1140" w:type="dxa"/>
          </w:tcPr>
          <w:p w:rsidR="00880768" w:rsidRDefault="00880768" w:rsidP="00EC47F5">
            <w:pPr>
              <w:jc w:val="right"/>
            </w:pPr>
          </w:p>
        </w:tc>
        <w:tc>
          <w:tcPr>
            <w:tcW w:w="1140" w:type="dxa"/>
          </w:tcPr>
          <w:p w:rsidR="00880768" w:rsidRDefault="00880768" w:rsidP="00EC47F5">
            <w:pPr>
              <w:jc w:val="right"/>
            </w:pPr>
            <w:r>
              <w:t>20 000</w:t>
            </w:r>
          </w:p>
        </w:tc>
        <w:tc>
          <w:tcPr>
            <w:tcW w:w="1140" w:type="dxa"/>
          </w:tcPr>
          <w:p w:rsidR="00880768" w:rsidRDefault="00880768" w:rsidP="00EC47F5">
            <w:pPr>
              <w:jc w:val="right"/>
            </w:pPr>
            <w:r>
              <w:t>149 000</w:t>
            </w:r>
          </w:p>
        </w:tc>
      </w:tr>
      <w:tr w:rsidR="00880768" w:rsidTr="00EC47F5">
        <w:trPr>
          <w:trHeight w:val="380"/>
        </w:trPr>
        <w:tc>
          <w:tcPr>
            <w:tcW w:w="1140" w:type="dxa"/>
          </w:tcPr>
          <w:p w:rsidR="00880768" w:rsidRDefault="00880768" w:rsidP="00EC47F5">
            <w:r>
              <w:t>74</w:t>
            </w:r>
          </w:p>
        </w:tc>
        <w:tc>
          <w:tcPr>
            <w:tcW w:w="4560" w:type="dxa"/>
          </w:tcPr>
          <w:p w:rsidR="00880768" w:rsidRDefault="00880768" w:rsidP="00EC47F5">
            <w:r>
              <w:t>Tilskudd til Gassco AS</w:t>
            </w:r>
            <w:r>
              <w:rPr>
                <w:rStyle w:val="kursiv"/>
                <w:sz w:val="21"/>
                <w:szCs w:val="21"/>
              </w:rPr>
              <w:t xml:space="preserve">, kan overføres </w:t>
            </w:r>
          </w:p>
        </w:tc>
        <w:tc>
          <w:tcPr>
            <w:tcW w:w="1140" w:type="dxa"/>
          </w:tcPr>
          <w:p w:rsidR="00880768" w:rsidRDefault="00880768" w:rsidP="00EC47F5">
            <w:pPr>
              <w:jc w:val="right"/>
            </w:pPr>
            <w:r>
              <w:t>15 977</w:t>
            </w:r>
          </w:p>
        </w:tc>
        <w:tc>
          <w:tcPr>
            <w:tcW w:w="1140" w:type="dxa"/>
          </w:tcPr>
          <w:p w:rsidR="00880768" w:rsidRDefault="00880768" w:rsidP="00EC47F5">
            <w:pPr>
              <w:jc w:val="right"/>
            </w:pPr>
          </w:p>
        </w:tc>
        <w:tc>
          <w:tcPr>
            <w:tcW w:w="1140" w:type="dxa"/>
          </w:tcPr>
          <w:p w:rsidR="00880768" w:rsidRDefault="00880768" w:rsidP="00EC47F5">
            <w:pPr>
              <w:jc w:val="right"/>
            </w:pPr>
          </w:p>
        </w:tc>
      </w:tr>
      <w:tr w:rsidR="00880768" w:rsidTr="00EC47F5">
        <w:trPr>
          <w:trHeight w:val="380"/>
        </w:trPr>
        <w:tc>
          <w:tcPr>
            <w:tcW w:w="1140" w:type="dxa"/>
          </w:tcPr>
          <w:p w:rsidR="00880768" w:rsidRDefault="00880768" w:rsidP="00EC47F5">
            <w:r>
              <w:t>96</w:t>
            </w:r>
          </w:p>
        </w:tc>
        <w:tc>
          <w:tcPr>
            <w:tcW w:w="4560" w:type="dxa"/>
          </w:tcPr>
          <w:p w:rsidR="00880768" w:rsidRDefault="00880768" w:rsidP="00EC47F5">
            <w:r>
              <w:t xml:space="preserve">Aksjer </w:t>
            </w:r>
          </w:p>
        </w:tc>
        <w:tc>
          <w:tcPr>
            <w:tcW w:w="1140" w:type="dxa"/>
          </w:tcPr>
          <w:p w:rsidR="00880768" w:rsidRDefault="00880768" w:rsidP="00EC47F5">
            <w:pPr>
              <w:jc w:val="right"/>
            </w:pPr>
            <w:r>
              <w:t>2 000</w:t>
            </w:r>
          </w:p>
        </w:tc>
        <w:tc>
          <w:tcPr>
            <w:tcW w:w="1140" w:type="dxa"/>
          </w:tcPr>
          <w:p w:rsidR="00880768" w:rsidRDefault="00880768" w:rsidP="00EC47F5">
            <w:pPr>
              <w:jc w:val="right"/>
            </w:pPr>
          </w:p>
        </w:tc>
        <w:tc>
          <w:tcPr>
            <w:tcW w:w="1140" w:type="dxa"/>
          </w:tcPr>
          <w:p w:rsidR="00880768" w:rsidRDefault="00880768" w:rsidP="00EC47F5">
            <w:pPr>
              <w:jc w:val="right"/>
            </w:pPr>
          </w:p>
        </w:tc>
      </w:tr>
      <w:tr w:rsidR="00880768" w:rsidTr="00EC47F5">
        <w:trPr>
          <w:trHeight w:val="380"/>
        </w:trPr>
        <w:tc>
          <w:tcPr>
            <w:tcW w:w="1140" w:type="dxa"/>
          </w:tcPr>
          <w:p w:rsidR="00880768" w:rsidRDefault="00880768" w:rsidP="00EC47F5"/>
        </w:tc>
        <w:tc>
          <w:tcPr>
            <w:tcW w:w="4560" w:type="dxa"/>
          </w:tcPr>
          <w:p w:rsidR="00880768" w:rsidRDefault="00880768" w:rsidP="00EC47F5">
            <w:r>
              <w:t>Sum kap. 1840</w:t>
            </w:r>
          </w:p>
        </w:tc>
        <w:tc>
          <w:tcPr>
            <w:tcW w:w="1140" w:type="dxa"/>
          </w:tcPr>
          <w:p w:rsidR="00880768" w:rsidRDefault="00880768" w:rsidP="00EC47F5">
            <w:pPr>
              <w:jc w:val="right"/>
            </w:pPr>
            <w:r>
              <w:t>1 024 017</w:t>
            </w:r>
          </w:p>
        </w:tc>
        <w:tc>
          <w:tcPr>
            <w:tcW w:w="1140" w:type="dxa"/>
          </w:tcPr>
          <w:p w:rsidR="00880768" w:rsidRDefault="00880768" w:rsidP="00EC47F5">
            <w:pPr>
              <w:jc w:val="right"/>
            </w:pPr>
            <w:r>
              <w:t>507 719</w:t>
            </w:r>
          </w:p>
        </w:tc>
        <w:tc>
          <w:tcPr>
            <w:tcW w:w="1140" w:type="dxa"/>
          </w:tcPr>
          <w:p w:rsidR="00880768" w:rsidRDefault="00880768" w:rsidP="00EC47F5">
            <w:pPr>
              <w:jc w:val="right"/>
            </w:pPr>
            <w:r>
              <w:t>669 500</w:t>
            </w:r>
          </w:p>
        </w:tc>
      </w:tr>
    </w:tbl>
    <w:p w:rsidR="00880768" w:rsidRDefault="00880768" w:rsidP="00880768">
      <w:pPr>
        <w:pStyle w:val="avsnitt-undertittel"/>
      </w:pPr>
      <w:r>
        <w:t>Vedrørende 2018</w:t>
      </w:r>
    </w:p>
    <w:p w:rsidR="00880768" w:rsidRDefault="00880768" w:rsidP="00880768">
      <w:r>
        <w:t>Ved Stortingets vedtak av 15. juni 2018 ble post 70 og post 72 økt med henholdsvis 11 mill. kroner og 69 mill. kroner, jf. Prop. 85 S (2017–2018) og Innst. 400 S (2017–2018).</w:t>
      </w:r>
    </w:p>
    <w:p w:rsidR="00880768" w:rsidRDefault="00880768" w:rsidP="00880768">
      <w:pPr>
        <w:pStyle w:val="b-post"/>
      </w:pPr>
      <w:r>
        <w:t>Post 50 Forskning, utvikling og demonstrasjon av CO</w:t>
      </w:r>
      <w:r>
        <w:rPr>
          <w:rStyle w:val="skrift-senket"/>
          <w:sz w:val="23"/>
          <w:szCs w:val="23"/>
        </w:rPr>
        <w:t>2</w:t>
      </w:r>
      <w:r>
        <w:t>-håndtering</w:t>
      </w:r>
    </w:p>
    <w:p w:rsidR="00880768" w:rsidRDefault="00880768" w:rsidP="00880768">
      <w:r>
        <w:t xml:space="preserve">Det foreslås en bevilgning på 186,5 mill. kroner til CLIMIT-programmet i 2019. </w:t>
      </w:r>
    </w:p>
    <w:p w:rsidR="00880768" w:rsidRDefault="00880768" w:rsidP="00880768">
      <w:pPr>
        <w:pStyle w:val="avsnitt-tittel"/>
      </w:pPr>
      <w:r>
        <w:t>CLIMIT-programmet</w:t>
      </w:r>
    </w:p>
    <w:p w:rsidR="00880768" w:rsidRDefault="00880768" w:rsidP="00880768">
      <w:r>
        <w:t>CLIMIT er et program for forskning, utvikling og demonstrasjon av teknologi for CO</w:t>
      </w:r>
      <w:r>
        <w:rPr>
          <w:rStyle w:val="skrift-senket"/>
          <w:spacing w:val="2"/>
          <w:sz w:val="21"/>
          <w:szCs w:val="21"/>
        </w:rPr>
        <w:t>2</w:t>
      </w:r>
      <w:r>
        <w:t>-håndtering, herunder vurdering av barrierer og insentiver knyttet til relevant teknologiutvikling og implement</w:t>
      </w:r>
      <w:r>
        <w:t>e</w:t>
      </w:r>
      <w:r>
        <w:t>ring. Programmet omfatter Norges forskningsråds støtte til forskning og utvikling (FoU-delen) og Gassnova SFs støtte til utvikling og demonstrasjon (Demo-delen). Midlene som forvaltes av Gas</w:t>
      </w:r>
      <w:r>
        <w:t>s</w:t>
      </w:r>
      <w:r>
        <w:t>nova overføres til Fond for CO</w:t>
      </w:r>
      <w:r>
        <w:rPr>
          <w:rStyle w:val="skrift-senket"/>
          <w:spacing w:val="2"/>
          <w:sz w:val="21"/>
          <w:szCs w:val="21"/>
        </w:rPr>
        <w:t>2</w:t>
      </w:r>
      <w:r>
        <w:t>-håndtering. Gassnova har koordineringsansvar for sekretariat</w:t>
      </w:r>
      <w:r>
        <w:t>s</w:t>
      </w:r>
      <w:r>
        <w:t>funksjonen som ivaretas i fellesskap mellom Gassnova og Norges forskningsråd. Programstyret, oppnevnt av Olje- og energidepartementet, har som oppgave å vedta programplan, utlysningstek</w:t>
      </w:r>
      <w:r>
        <w:t>s</w:t>
      </w:r>
      <w:r>
        <w:t xml:space="preserve">ter og beslutte tilsagn om tilskudd etter innstilling fra Gassnova og Norges forskningsråd. </w:t>
      </w:r>
    </w:p>
    <w:p w:rsidR="00880768" w:rsidRDefault="00880768" w:rsidP="00880768">
      <w:pPr>
        <w:pStyle w:val="avsnitt-undertittel"/>
      </w:pPr>
      <w:r>
        <w:t>Mål for programmet</w:t>
      </w:r>
    </w:p>
    <w:p w:rsidR="00880768" w:rsidRDefault="00880768" w:rsidP="00880768">
      <w:r>
        <w:t>CLIMIT har som hovedmål å bidra til å utvikle teknologi og løsninger for CO</w:t>
      </w:r>
      <w:r>
        <w:rPr>
          <w:rStyle w:val="skrift-senket"/>
          <w:sz w:val="21"/>
          <w:szCs w:val="21"/>
        </w:rPr>
        <w:t>2</w:t>
      </w:r>
      <w:r>
        <w:t>-håndtering. Pr</w:t>
      </w:r>
      <w:r>
        <w:t>o</w:t>
      </w:r>
      <w:r>
        <w:t>grammet skal gjennom støtte til prosjekter i hele kjeden fra forskning til demonstrasjon bidra til utvikling av kunnskap, kompetanse, teknologi og løsninger som kan gi viktige bidrag til kostnad</w:t>
      </w:r>
      <w:r>
        <w:t>s</w:t>
      </w:r>
      <w:r>
        <w:t>reduksjoner og bred internasjonal utbredelse av CO</w:t>
      </w:r>
      <w:r>
        <w:rPr>
          <w:rStyle w:val="skrift-senket"/>
          <w:sz w:val="21"/>
          <w:szCs w:val="21"/>
        </w:rPr>
        <w:t>2</w:t>
      </w:r>
      <w:r>
        <w:t>-håndtering. Samtidig skal CLIMIT bidra til utnyttelse av nasjonale fortrinn og utvikling av ny teknologi og tjenestekonsepter med internasj</w:t>
      </w:r>
      <w:r>
        <w:t>o</w:t>
      </w:r>
      <w:r>
        <w:t xml:space="preserve">nalt potensial. </w:t>
      </w:r>
    </w:p>
    <w:p w:rsidR="00880768" w:rsidRDefault="00880768" w:rsidP="00880768">
      <w:r>
        <w:t>Innsatsen i programmet skal være rettet mot teknologiutvikling. Det legges også vekt på å finne muligheter for fremtidig industrialisering og verdiskaping i norsk industri. Programmet henvender seg til norske bedrifter, forskningsinstitutter, universiteter og høgskoler, gjerne i samarbeid med internasjonale bedrifter og forskningsinstitusjoner som kan bidra til å påskynde kommersialisering av CO</w:t>
      </w:r>
      <w:r>
        <w:rPr>
          <w:rStyle w:val="skrift-senket"/>
          <w:spacing w:val="2"/>
          <w:sz w:val="21"/>
          <w:szCs w:val="21"/>
        </w:rPr>
        <w:t>2</w:t>
      </w:r>
      <w:r>
        <w:t>-håndtering. En mindre del av CLIMITs portefølje settes av til samfunnsfaglig forskning. Vurderingene skal være forankret i arbeidet med å fremme utvikling, demonstrasjon og impleme</w:t>
      </w:r>
      <w:r>
        <w:t>n</w:t>
      </w:r>
      <w:r>
        <w:t>tering av CO</w:t>
      </w:r>
      <w:r>
        <w:rPr>
          <w:rStyle w:val="skrift-senket"/>
          <w:spacing w:val="2"/>
          <w:sz w:val="21"/>
          <w:szCs w:val="21"/>
        </w:rPr>
        <w:t>2</w:t>
      </w:r>
      <w:r>
        <w:t>-håndtering.</w:t>
      </w:r>
    </w:p>
    <w:p w:rsidR="00880768" w:rsidRDefault="00880768" w:rsidP="00880768">
      <w:pPr>
        <w:pStyle w:val="avsnitt-undertittel"/>
      </w:pPr>
      <w:r>
        <w:t>Tildelings- og oppfølgingskriterier</w:t>
      </w:r>
    </w:p>
    <w:p w:rsidR="00880768" w:rsidRDefault="00880768" w:rsidP="00880768">
      <w:r>
        <w:t>CLIMIT skal støtte forskning, utvikling og demonstrasjon av kunnskap, kompetanse, teknologi og løsninger for:</w:t>
      </w:r>
    </w:p>
    <w:p w:rsidR="00880768" w:rsidRDefault="00880768" w:rsidP="00880768">
      <w:pPr>
        <w:pStyle w:val="Liste"/>
      </w:pPr>
      <w:r>
        <w:t>CO</w:t>
      </w:r>
      <w:r>
        <w:rPr>
          <w:rStyle w:val="skrift-senket"/>
          <w:sz w:val="21"/>
          <w:szCs w:val="21"/>
        </w:rPr>
        <w:t>2</w:t>
      </w:r>
      <w:r>
        <w:t>-fangst før, under eller etter kraftproduksjonen og i industrielle prosesser</w:t>
      </w:r>
    </w:p>
    <w:p w:rsidR="00880768" w:rsidRDefault="00880768" w:rsidP="00880768">
      <w:pPr>
        <w:pStyle w:val="Liste"/>
      </w:pPr>
      <w:r>
        <w:t>kompresjon eller annen håndtering av CO</w:t>
      </w:r>
      <w:r>
        <w:rPr>
          <w:rStyle w:val="skrift-senket"/>
          <w:sz w:val="21"/>
          <w:szCs w:val="21"/>
        </w:rPr>
        <w:t>2</w:t>
      </w:r>
    </w:p>
    <w:p w:rsidR="00880768" w:rsidRDefault="00880768" w:rsidP="00880768">
      <w:pPr>
        <w:pStyle w:val="Liste"/>
      </w:pPr>
      <w:r>
        <w:t>transport av CO</w:t>
      </w:r>
      <w:r>
        <w:rPr>
          <w:rStyle w:val="skrift-senket"/>
          <w:sz w:val="21"/>
          <w:szCs w:val="21"/>
        </w:rPr>
        <w:t>2</w:t>
      </w:r>
    </w:p>
    <w:p w:rsidR="00880768" w:rsidRDefault="00880768" w:rsidP="00880768">
      <w:pPr>
        <w:pStyle w:val="Liste"/>
      </w:pPr>
      <w:r>
        <w:t>langtidslagring av CO</w:t>
      </w:r>
      <w:r>
        <w:rPr>
          <w:rStyle w:val="skrift-senket"/>
          <w:sz w:val="21"/>
          <w:szCs w:val="21"/>
        </w:rPr>
        <w:t>2</w:t>
      </w:r>
      <w:r>
        <w:t xml:space="preserve"> i form av injeksjon og deponering</w:t>
      </w:r>
    </w:p>
    <w:p w:rsidR="00880768" w:rsidRDefault="00880768" w:rsidP="00880768">
      <w:pPr>
        <w:pStyle w:val="Liste"/>
      </w:pPr>
      <w:r>
        <w:t>bruk av CO</w:t>
      </w:r>
      <w:r>
        <w:rPr>
          <w:rStyle w:val="skrift-senket"/>
          <w:sz w:val="21"/>
          <w:szCs w:val="21"/>
        </w:rPr>
        <w:t>2</w:t>
      </w:r>
      <w:r>
        <w:t xml:space="preserve"> som medfører langtidslagring</w:t>
      </w:r>
    </w:p>
    <w:p w:rsidR="00880768" w:rsidRDefault="00880768" w:rsidP="00880768">
      <w:r>
        <w:t>Kriterier som tillegges vekt i søknadsbehandlingen er kommersielt potensial, faglig grunnlag, stø</w:t>
      </w:r>
      <w:r>
        <w:t>t</w:t>
      </w:r>
      <w:r>
        <w:t xml:space="preserve">tens utløsende effekt og verdiskaping i Norge. Norges forskningsråd og Gassnova er ansvarlig for </w:t>
      </w:r>
      <w:r>
        <w:lastRenderedPageBreak/>
        <w:t>tildeling av midler og oppfølgingen av programmet innenfor henholdsvis CLIMIT-FoU og CL</w:t>
      </w:r>
      <w:r>
        <w:t>I</w:t>
      </w:r>
      <w:r>
        <w:t xml:space="preserve">MIT-Demo. Tilskuddsordningene kunngjøres på programmets hjemmeside </w:t>
      </w:r>
      <w:r>
        <w:rPr>
          <w:rStyle w:val="kursiv"/>
          <w:sz w:val="21"/>
          <w:szCs w:val="21"/>
        </w:rPr>
        <w:t>climit.no</w:t>
      </w:r>
      <w:r>
        <w:t xml:space="preserve">, via Gassnovas hjemmeside </w:t>
      </w:r>
      <w:r>
        <w:rPr>
          <w:rStyle w:val="kursiv"/>
          <w:sz w:val="21"/>
          <w:szCs w:val="21"/>
        </w:rPr>
        <w:t>gassnova.no</w:t>
      </w:r>
      <w:r>
        <w:t xml:space="preserve"> og via Norges forskningsråds hjemmeside </w:t>
      </w:r>
      <w:r>
        <w:rPr>
          <w:rStyle w:val="kursiv"/>
          <w:sz w:val="21"/>
          <w:szCs w:val="21"/>
        </w:rPr>
        <w:t>forskningsradet.no</w:t>
      </w:r>
      <w:r>
        <w:t xml:space="preserve">. </w:t>
      </w:r>
    </w:p>
    <w:p w:rsidR="00880768" w:rsidRDefault="00880768" w:rsidP="00880768">
      <w:pPr>
        <w:pStyle w:val="avsnitt-undertittel"/>
      </w:pPr>
      <w:r>
        <w:t>Resultatrapport 2017</w:t>
      </w:r>
    </w:p>
    <w:p w:rsidR="00880768" w:rsidRDefault="00880768" w:rsidP="00880768">
      <w:r>
        <w:t>CLIMIT bidrar til å utvikle og demonstrere teknologi og løsninger som gjør fangst og lagring av CO</w:t>
      </w:r>
      <w:r>
        <w:rPr>
          <w:rStyle w:val="skrift-senket"/>
          <w:spacing w:val="2"/>
          <w:sz w:val="21"/>
          <w:szCs w:val="21"/>
        </w:rPr>
        <w:t>2</w:t>
      </w:r>
      <w:r>
        <w:t xml:space="preserve"> mer kostnadseffektivt og som bidrar til at CO</w:t>
      </w:r>
      <w:r>
        <w:rPr>
          <w:rStyle w:val="skrift-senket"/>
          <w:spacing w:val="2"/>
          <w:sz w:val="21"/>
          <w:szCs w:val="21"/>
        </w:rPr>
        <w:t>2</w:t>
      </w:r>
      <w:r>
        <w:t>-håndteringsløsninger raskere kan tas i bruk. Det har vært stor interesse for å søke midler fra CLIMIT i 2017. Ved utgangen av året har programmet i alt tildelt om lag 220 mill. kroner i støtte til 64 nye prosjekter. Regjeringens ambisjoner for ful</w:t>
      </w:r>
      <w:r>
        <w:t>l</w:t>
      </w:r>
      <w:r>
        <w:t>skala CO</w:t>
      </w:r>
      <w:r>
        <w:rPr>
          <w:rStyle w:val="skrift-senket"/>
          <w:spacing w:val="2"/>
          <w:sz w:val="21"/>
          <w:szCs w:val="21"/>
        </w:rPr>
        <w:t>2</w:t>
      </w:r>
      <w:r>
        <w:t>-håndtering har vært en viktig årsak til dette. Den fornyede interessen fra industriaktører har spesielt vært merkbar innen CLIMIT-FoU, der det har kommet langt flere søknader om ko</w:t>
      </w:r>
      <w:r>
        <w:t>m</w:t>
      </w:r>
      <w:r>
        <w:t>petanseprosjekt for næringslivet (KPN) og innovasjonsprosjekt for næringslivet (IPN) enn tidligere. Forskning og demonstrasjon av CO</w:t>
      </w:r>
      <w:r>
        <w:rPr>
          <w:rStyle w:val="skrift-senket"/>
          <w:spacing w:val="2"/>
          <w:sz w:val="21"/>
          <w:szCs w:val="21"/>
        </w:rPr>
        <w:t>2</w:t>
      </w:r>
      <w:r>
        <w:t>-håndtering har de senere årene hatt en vridning fra kraftsekt</w:t>
      </w:r>
      <w:r>
        <w:t>o</w:t>
      </w:r>
      <w:r>
        <w:t xml:space="preserve">ren til industrisektoren. Innen CLIMIT-Demo er </w:t>
      </w:r>
      <w:proofErr w:type="gramStart"/>
      <w:r>
        <w:t>det</w:t>
      </w:r>
      <w:proofErr w:type="gramEnd"/>
      <w:r>
        <w:t xml:space="preserve"> stadig flere </w:t>
      </w:r>
      <w:proofErr w:type="gramStart"/>
      <w:r>
        <w:t>virksomheter</w:t>
      </w:r>
      <w:proofErr w:type="gramEnd"/>
      <w:r>
        <w:t xml:space="preserve"> som ser på hvordan de kan ta i bruk fangstteknologi og utnytte den planlagte infrastrukturen i fullskalaprosjektet. Det forventes at resultatene fra CLIMIT-prosjekter vil ha stor relevans for gjennomføringen av </w:t>
      </w:r>
      <w:proofErr w:type="gramStart"/>
      <w:r>
        <w:t>det</w:t>
      </w:r>
      <w:proofErr w:type="gramEnd"/>
      <w:r>
        <w:t xml:space="preserve"> planlagte fullskala CO</w:t>
      </w:r>
      <w:r>
        <w:rPr>
          <w:rStyle w:val="skrift-senket"/>
          <w:spacing w:val="2"/>
          <w:sz w:val="21"/>
          <w:szCs w:val="21"/>
        </w:rPr>
        <w:t>2</w:t>
      </w:r>
      <w:r>
        <w:t>-håndteringsprosjektet. Kommersielle aktører har påpekt at fullskalapr</w:t>
      </w:r>
      <w:r>
        <w:t>o</w:t>
      </w:r>
      <w:r>
        <w:t>sjektet ikke ville vært mulig uten forskning gjennomført i CLIMIT.</w:t>
      </w:r>
    </w:p>
    <w:p w:rsidR="00880768" w:rsidRDefault="00880768" w:rsidP="00880768">
      <w:r>
        <w:t>CLIMIT Summit arrangeres hvert andre år. Konferansen som ble avholdt i mars i 2017 samlet over 200 deltakere og bidro til solid nettverksbygging og kunnskapsspredning. Arrangementet har utviklet seg til å bli en av de viktigste nasjonale møteplassene innen CO</w:t>
      </w:r>
      <w:r>
        <w:rPr>
          <w:rStyle w:val="skrift-senket"/>
          <w:sz w:val="21"/>
          <w:szCs w:val="21"/>
        </w:rPr>
        <w:t>2</w:t>
      </w:r>
      <w:r>
        <w:t>-håndtering.</w:t>
      </w:r>
    </w:p>
    <w:p w:rsidR="00880768" w:rsidRDefault="00880768" w:rsidP="00880768">
      <w:r>
        <w:t>CLIMIT deltar i et nytt ERA-Net Cofund innen CO</w:t>
      </w:r>
      <w:r>
        <w:rPr>
          <w:rStyle w:val="skrift-senket"/>
          <w:spacing w:val="3"/>
          <w:sz w:val="21"/>
          <w:szCs w:val="21"/>
        </w:rPr>
        <w:t>2</w:t>
      </w:r>
      <w:r>
        <w:t>-håndtering, Accellerating CCS Technologies (ACT). ACT er et samarbeid mellom ni europeiske land, med tilleggsfinansiering fra Europako</w:t>
      </w:r>
      <w:r>
        <w:t>m</w:t>
      </w:r>
      <w:r>
        <w:t>misjonen, med formål å samarbeide om kunnskapsdeling og fellesutlysninger. Forskningsrådet har koordinert fellesutlysningene i ACT, som har gitt støtte på til sammen 36 mill. euro til åtte nye prosjekter med oppstart i 2017. Det var totalt 17 søkere til ACT-utlysningene, hvorav 13 søknader hadde norske prosjektdeltakere. Norske partnere deltar i syv av de åtte prosjektene som fikk in</w:t>
      </w:r>
      <w:r>
        <w:t>n</w:t>
      </w:r>
      <w:r>
        <w:t>vilget støtte og mottar totalt 96 mill. kroner, hvorav om lag 64 mill. kroner finansieres av CLIMIT og om lag 32 mill. kroner finansieres av Europakommisjonen.</w:t>
      </w:r>
    </w:p>
    <w:p w:rsidR="00880768" w:rsidRDefault="00880768" w:rsidP="00880768">
      <w:pPr>
        <w:pStyle w:val="avsnitt-under-undertittel"/>
      </w:pPr>
      <w:r>
        <w:t>CLIMIT-FoU</w:t>
      </w:r>
    </w:p>
    <w:p w:rsidR="00880768" w:rsidRDefault="00880768" w:rsidP="00880768">
      <w:r>
        <w:t>Forskningsrådet forvalter FoU-delen av CLIMIT, som gir støtte til FoU-prosjekter innen fangst, transport og lagring av CO</w:t>
      </w:r>
      <w:r>
        <w:rPr>
          <w:rStyle w:val="skrift-senket"/>
          <w:sz w:val="21"/>
          <w:szCs w:val="21"/>
        </w:rPr>
        <w:t>2</w:t>
      </w:r>
      <w:r>
        <w:t>. I 2017 er det tildelt totalt 137 mill. kroner til 22 nye prosjekter i FoU-delen av CLIMIT. Dette inkluderer 37 mill. kroner til de norske prosjektdeltakerne i fem ACT-prosjekter. Det var 69 aktive prosjekter i løpet av 2017 i CLIMIT-FoU, med et totalt forbruk på 108 mill. kroner.</w:t>
      </w:r>
    </w:p>
    <w:p w:rsidR="00880768" w:rsidRDefault="00880768" w:rsidP="00880768">
      <w:r>
        <w:t>CLIMIT-FoU åpnet i 2017 for å støtte samfunnsvitenskapelig forskning og har som mål at dette skal utgjøre om lag 10 prosent av porteføljen. I 2017 kom det to søknader innen samfunnsvite</w:t>
      </w:r>
      <w:r>
        <w:t>n</w:t>
      </w:r>
      <w:r>
        <w:t>skapelig forskning, men ingen har hatt tilstrekkelig kvalitet til å motta støtte.</w:t>
      </w:r>
    </w:p>
    <w:p w:rsidR="00880768" w:rsidRDefault="00880768" w:rsidP="00880768">
      <w:r>
        <w:t>FoU-porteføljen er tilnærmet likt fordelt mellom CO</w:t>
      </w:r>
      <w:r>
        <w:rPr>
          <w:rStyle w:val="skrift-senket"/>
          <w:sz w:val="21"/>
          <w:szCs w:val="21"/>
        </w:rPr>
        <w:t>2</w:t>
      </w:r>
      <w:r>
        <w:t>-fangst og CO</w:t>
      </w:r>
      <w:r>
        <w:rPr>
          <w:rStyle w:val="skrift-senket"/>
          <w:sz w:val="21"/>
          <w:szCs w:val="21"/>
        </w:rPr>
        <w:t>2</w:t>
      </w:r>
      <w:r>
        <w:t>-lagring, med en mindre del på CO</w:t>
      </w:r>
      <w:r>
        <w:rPr>
          <w:rStyle w:val="skrift-senket"/>
          <w:sz w:val="21"/>
          <w:szCs w:val="21"/>
        </w:rPr>
        <w:t>2</w:t>
      </w:r>
      <w:r>
        <w:t>-transport. Dette reflekterer godt de største forskningsutfordringene innen CO</w:t>
      </w:r>
      <w:r>
        <w:rPr>
          <w:rStyle w:val="skrift-senket"/>
          <w:sz w:val="21"/>
          <w:szCs w:val="21"/>
        </w:rPr>
        <w:t>2</w:t>
      </w:r>
      <w:r>
        <w:t>-håndtering. Innen fangst legger flere prosjekter vekt på å utvikle mer kostnadseffektive løsninger. Innenfor lagring er oppmerksomheten rettet mot risikohåndtering, overvåkningsteknologi og forståelse av fysiske, kjemiske og geologiske prosesser i bergartene. De senere årene har det vært en dreining i forskningsaktiviteten fra kraftproduksjon til industrisektoren, særlig rettet mot utslippspunkter som er avhengig av CO</w:t>
      </w:r>
      <w:r>
        <w:rPr>
          <w:rStyle w:val="skrift-senket"/>
          <w:sz w:val="21"/>
          <w:szCs w:val="21"/>
        </w:rPr>
        <w:t>2</w:t>
      </w:r>
      <w:r>
        <w:t>-håndtering for å nå ambisiøse klimamål. CLIMIT-FoU-porteføljen reflekterer denne vridningen bra.</w:t>
      </w:r>
    </w:p>
    <w:p w:rsidR="00880768" w:rsidRDefault="00880768" w:rsidP="00880768">
      <w:r>
        <w:lastRenderedPageBreak/>
        <w:t>Kvantifiserbare resultater i 2017 for forskningsdelen av CLIMIT:</w:t>
      </w:r>
    </w:p>
    <w:p w:rsidR="00880768" w:rsidRDefault="00880768" w:rsidP="00880768">
      <w:pPr>
        <w:pStyle w:val="Liste"/>
      </w:pPr>
      <w:r>
        <w:t>Antall prosjekter: 69, hvorav 25 nye</w:t>
      </w:r>
    </w:p>
    <w:p w:rsidR="00880768" w:rsidRDefault="00880768" w:rsidP="00880768">
      <w:pPr>
        <w:pStyle w:val="Liste"/>
      </w:pPr>
      <w:r>
        <w:t>Doktorgradsstipendiater: 28, hvorav 8 er kvinner</w:t>
      </w:r>
    </w:p>
    <w:p w:rsidR="00880768" w:rsidRDefault="00880768" w:rsidP="00880768">
      <w:pPr>
        <w:pStyle w:val="Liste"/>
      </w:pPr>
      <w:r>
        <w:t>Publiserte artikler/monografier: 88</w:t>
      </w:r>
    </w:p>
    <w:p w:rsidR="00880768" w:rsidRDefault="00880768" w:rsidP="00880768">
      <w:pPr>
        <w:pStyle w:val="Liste"/>
      </w:pPr>
      <w:r>
        <w:t>Antall nye/forbedrete produkter/prosesser/tjenester: 1</w:t>
      </w:r>
    </w:p>
    <w:p w:rsidR="00880768" w:rsidRDefault="00880768" w:rsidP="00880768">
      <w:pPr>
        <w:pStyle w:val="Liste"/>
      </w:pPr>
      <w:r>
        <w:t>Antall nye/forbedrete metoder/modeller/prototyper: 11</w:t>
      </w:r>
    </w:p>
    <w:p w:rsidR="00880768" w:rsidRDefault="00880768" w:rsidP="00880768">
      <w:pPr>
        <w:pStyle w:val="avsnitt-under-undertittel"/>
      </w:pPr>
      <w:r>
        <w:t>CLIMIT-Demo</w:t>
      </w:r>
    </w:p>
    <w:p w:rsidR="00880768" w:rsidRDefault="00880768" w:rsidP="00880768">
      <w:r>
        <w:t>Gassnova forvalter Demo-delen av CLIMIT, som gir støtte til utvikling og demonstrasjon av te</w:t>
      </w:r>
      <w:r>
        <w:t>k</w:t>
      </w:r>
      <w:r>
        <w:t>nologier for CO</w:t>
      </w:r>
      <w:r>
        <w:rPr>
          <w:rStyle w:val="skrift-senket"/>
          <w:spacing w:val="-1"/>
          <w:sz w:val="21"/>
          <w:szCs w:val="21"/>
        </w:rPr>
        <w:t>2</w:t>
      </w:r>
      <w:r>
        <w:t>-håndtering. I 2017 ble det innvilget om lag 82 mill. kroner til 17 nye prosjekter, samt idéstudier, utredninger og informasjonstiltak. Av dette er det innvilget 27 mill. kroner til de norske partnerne i to ACT-prosjekter. Totalt var det 103 aktive prosjekter i 2017 med en samlet tildelt støtteramme på 564 mill. kroner. Fangst av CO</w:t>
      </w:r>
      <w:r>
        <w:rPr>
          <w:rStyle w:val="skrift-senket"/>
          <w:spacing w:val="-1"/>
          <w:sz w:val="21"/>
          <w:szCs w:val="21"/>
        </w:rPr>
        <w:t>2</w:t>
      </w:r>
      <w:r>
        <w:t xml:space="preserve"> utgjør 60 prosent av den samlede CL</w:t>
      </w:r>
      <w:r>
        <w:t>I</w:t>
      </w:r>
      <w:r>
        <w:t>MIT-Demo-porteføljen. Prosjektene reflekterer økende interesse fra norsk prosessindustri, interesse for tilknytning til en framtidig norsk infrastruktur for CO</w:t>
      </w:r>
      <w:r>
        <w:rPr>
          <w:rStyle w:val="skrift-senket"/>
          <w:spacing w:val="-1"/>
          <w:sz w:val="21"/>
          <w:szCs w:val="21"/>
        </w:rPr>
        <w:t>2</w:t>
      </w:r>
      <w:r>
        <w:t>-håndtering og behovet for å redusere kostnadene knyttet til fangst. Det norske fullskalaprosjektet har skapt større engasjement i ind</w:t>
      </w:r>
      <w:r>
        <w:t>u</w:t>
      </w:r>
      <w:r>
        <w:t>strien for CO</w:t>
      </w:r>
      <w:r>
        <w:rPr>
          <w:rStyle w:val="skrift-senket"/>
          <w:spacing w:val="-1"/>
          <w:sz w:val="21"/>
          <w:szCs w:val="21"/>
        </w:rPr>
        <w:t>2</w:t>
      </w:r>
      <w:r>
        <w:t>-lagring, som utgjorde 22 prosent av Demo-porteføljen i 2017, blant annet knyttet til økt oljeutvinning og teknologier for overvåkning av CO</w:t>
      </w:r>
      <w:r>
        <w:rPr>
          <w:rStyle w:val="skrift-senket"/>
          <w:spacing w:val="-1"/>
          <w:sz w:val="21"/>
          <w:szCs w:val="21"/>
        </w:rPr>
        <w:t>2</w:t>
      </w:r>
      <w:r>
        <w:t>-lagre. Transport av CO</w:t>
      </w:r>
      <w:r>
        <w:rPr>
          <w:rStyle w:val="skrift-senket"/>
          <w:spacing w:val="-1"/>
          <w:sz w:val="21"/>
          <w:szCs w:val="21"/>
        </w:rPr>
        <w:t>2</w:t>
      </w:r>
      <w:r>
        <w:t xml:space="preserve"> utgjør 10 prosent av porteføljen og er spesielt relevant til å kunne redusere risiko og kostnader i det norske fullskal</w:t>
      </w:r>
      <w:r>
        <w:t>a</w:t>
      </w:r>
      <w:r>
        <w:t>prosjektet.</w:t>
      </w:r>
    </w:p>
    <w:p w:rsidR="00880768" w:rsidRDefault="00880768" w:rsidP="00880768">
      <w:pPr>
        <w:pStyle w:val="b-post"/>
      </w:pPr>
      <w:r>
        <w:t xml:space="preserve">Post 70 Administrasjon, Gassnova SF, </w:t>
      </w:r>
      <w:r>
        <w:br/>
        <w:t>kan overføres, kan nyttes under post 72</w:t>
      </w:r>
    </w:p>
    <w:p w:rsidR="00880768" w:rsidRDefault="00880768" w:rsidP="00880768">
      <w:r>
        <w:t xml:space="preserve">Det foreslås en bevilgning på 126 mill. kroner og en fullmakt til å pådra forpliktelser for inntil 20 mill. kroner utover gitt bevilgning, jf. forslag til vedtak VI. Økningen fra saldert budsjett 2018 har sammenheng med oppfølging av arbeidet med å etablere </w:t>
      </w:r>
      <w:proofErr w:type="gramStart"/>
      <w:r>
        <w:t>et</w:t>
      </w:r>
      <w:proofErr w:type="gramEnd"/>
      <w:r>
        <w:t xml:space="preserve"> fullskala demonstrasjonsprosjekt for fangst og lagring av CO</w:t>
      </w:r>
      <w:r>
        <w:rPr>
          <w:rStyle w:val="skrift-senket"/>
          <w:sz w:val="21"/>
          <w:szCs w:val="21"/>
        </w:rPr>
        <w:t>2</w:t>
      </w:r>
      <w:r>
        <w:t xml:space="preserve"> i Norge.</w:t>
      </w:r>
    </w:p>
    <w:p w:rsidR="00880768" w:rsidRDefault="00880768" w:rsidP="00880768">
      <w:pPr>
        <w:pStyle w:val="b-post"/>
      </w:pPr>
      <w:r>
        <w:t xml:space="preserve">Post 71 Tilskudd til Teknologisenter for </w:t>
      </w:r>
      <w:r>
        <w:br/>
        <w:t>CO</w:t>
      </w:r>
      <w:r>
        <w:rPr>
          <w:rStyle w:val="skrift-senket"/>
          <w:sz w:val="23"/>
          <w:szCs w:val="23"/>
        </w:rPr>
        <w:t>2</w:t>
      </w:r>
      <w:r>
        <w:t>-fangst på Mongstad</w:t>
      </w:r>
    </w:p>
    <w:p w:rsidR="00880768" w:rsidRDefault="00880768" w:rsidP="00880768">
      <w:r>
        <w:t>Posten omfatter utgifter til TCM Operations DA som står for driften av testanleggene, hvor staten har en eierandel på 77,5 prosent. De øvrige eierne i driftsselskapet er Equinor, Shell og Total med 7,5 prosent eierandel hver. Gassnova SF ivaretar statens eierandel i TCM Operations DA. Videre omfatter posten utgifter til TCM Assets AS, et datterselskap av Gassnova SF, som står som eier av anleggene ved teknologisenteret og betaler den kommunale eiendomsskatten.</w:t>
      </w:r>
    </w:p>
    <w:p w:rsidR="00880768" w:rsidRDefault="00880768" w:rsidP="00880768">
      <w:r>
        <w:t>Det foreslås en bevilgning på 208 mill. kroner, hvorav 183 mill. kroner omfatter driftsutgifter til TCM Operation DA og 25 mill. kroner til TCM Assets AS. Investeringer og videreutvikling ved TCM dekkes fra Fond for CO</w:t>
      </w:r>
      <w:r>
        <w:rPr>
          <w:rStyle w:val="skrift-senket"/>
          <w:sz w:val="21"/>
          <w:szCs w:val="21"/>
        </w:rPr>
        <w:t>2</w:t>
      </w:r>
      <w:r>
        <w:t xml:space="preserve">-håndtering. </w:t>
      </w:r>
    </w:p>
    <w:p w:rsidR="00880768" w:rsidRDefault="00880768" w:rsidP="00880768">
      <w:pPr>
        <w:pStyle w:val="avsnitt-tittel"/>
      </w:pPr>
      <w:r>
        <w:t>Mål og aktiviteter</w:t>
      </w:r>
    </w:p>
    <w:p w:rsidR="00880768" w:rsidRDefault="00880768" w:rsidP="00880768">
      <w:r>
        <w:t>Teknologisenter for CO</w:t>
      </w:r>
      <w:r>
        <w:rPr>
          <w:rStyle w:val="skrift-senket"/>
          <w:sz w:val="21"/>
          <w:szCs w:val="21"/>
        </w:rPr>
        <w:t>2</w:t>
      </w:r>
      <w:r>
        <w:t>-fangst på Mongstad (TCM) har som mål å skape en arena for langsiktig og målrettet utvikling, testing og kvalifisering av teknologi for CO</w:t>
      </w:r>
      <w:r>
        <w:rPr>
          <w:rStyle w:val="skrift-senket"/>
          <w:sz w:val="21"/>
          <w:szCs w:val="21"/>
        </w:rPr>
        <w:t>2</w:t>
      </w:r>
      <w:r>
        <w:t>-fangst. Hovedmålet med TCM er å bidra til teknologiutvikling for økt utbredelse av CO</w:t>
      </w:r>
      <w:r>
        <w:rPr>
          <w:rStyle w:val="skrift-senket"/>
          <w:sz w:val="21"/>
          <w:szCs w:val="21"/>
        </w:rPr>
        <w:t>2</w:t>
      </w:r>
      <w:r>
        <w:t>-fangst globalt. Gjennom teknologisent</w:t>
      </w:r>
      <w:r>
        <w:t>e</w:t>
      </w:r>
      <w:r>
        <w:t>ret skal det vinnes praktisk erfaring med design, oppskalering og drift av store CO</w:t>
      </w:r>
      <w:r>
        <w:rPr>
          <w:rStyle w:val="skrift-senket"/>
          <w:sz w:val="21"/>
          <w:szCs w:val="21"/>
        </w:rPr>
        <w:t>2</w:t>
      </w:r>
      <w:r>
        <w:t>-fangstanlegg. Det er videre et mål å bidra til internasjonal spredning av disse erfaringene, slik at kostnader og risiko for fullskala CO</w:t>
      </w:r>
      <w:r>
        <w:rPr>
          <w:rStyle w:val="skrift-senket"/>
          <w:sz w:val="21"/>
          <w:szCs w:val="21"/>
        </w:rPr>
        <w:t>2</w:t>
      </w:r>
      <w:r>
        <w:t>-fangst kan reduseres.</w:t>
      </w:r>
    </w:p>
    <w:p w:rsidR="00880768" w:rsidRDefault="00880768" w:rsidP="00880768">
      <w:r>
        <w:lastRenderedPageBreak/>
        <w:t>Med bakgrunn i ovennevnte hovedmål arbeides det for å nå følgende delmål:</w:t>
      </w:r>
    </w:p>
    <w:p w:rsidR="00880768" w:rsidRDefault="00880768" w:rsidP="00880768">
      <w:pPr>
        <w:pStyle w:val="Liste"/>
      </w:pPr>
      <w:r>
        <w:t>Legge til rette for en langsiktig og god utnyttelse av anleggene og den etablerte infrastru</w:t>
      </w:r>
      <w:r>
        <w:t>k</w:t>
      </w:r>
      <w:r>
        <w:t>turen ved at nye samarbeidspartnere knytter seg til teknologisenteret for å teste ut alternative teknologier.</w:t>
      </w:r>
    </w:p>
    <w:p w:rsidR="00880768" w:rsidRDefault="00880768" w:rsidP="00880768">
      <w:pPr>
        <w:pStyle w:val="Liste"/>
      </w:pPr>
      <w:r>
        <w:t>Industrielle selskapers deltagelse i TCM skal bidra til å sikre teknologisenteret industriell og kommersiell kompetanse og bidra til spredning av erfaringene fra teknologisenteret.</w:t>
      </w:r>
    </w:p>
    <w:p w:rsidR="00880768" w:rsidRDefault="00880768" w:rsidP="00880768">
      <w:r>
        <w:t>TCM har vedtatt følgende strategi for perioden 2017 til 2020. Strategien har definert seks foku</w:t>
      </w:r>
      <w:r>
        <w:t>s</w:t>
      </w:r>
      <w:r>
        <w:t>områder:</w:t>
      </w:r>
    </w:p>
    <w:p w:rsidR="00880768" w:rsidRDefault="00880768" w:rsidP="00880768">
      <w:pPr>
        <w:pStyle w:val="Liste"/>
      </w:pPr>
      <w:r>
        <w:t>Fremme videre utvikling av aminbaserte fangstteknologier</w:t>
      </w:r>
    </w:p>
    <w:p w:rsidR="00880768" w:rsidRDefault="00880768" w:rsidP="00880768">
      <w:pPr>
        <w:pStyle w:val="Liste"/>
      </w:pPr>
      <w:r>
        <w:t>Tilrettelegge og utvikle flere åpne vitenskapelige testkampanjer</w:t>
      </w:r>
    </w:p>
    <w:p w:rsidR="00880768" w:rsidRDefault="00880768" w:rsidP="00880768">
      <w:pPr>
        <w:pStyle w:val="Liste"/>
      </w:pPr>
      <w:r>
        <w:t>Utvikle allianser med internasjonale finansieringsinstitusjoner og FoU-miljøer</w:t>
      </w:r>
    </w:p>
    <w:p w:rsidR="00880768" w:rsidRDefault="00880768" w:rsidP="00880768">
      <w:pPr>
        <w:pStyle w:val="Liste"/>
      </w:pPr>
      <w:r>
        <w:t>Økt kunnskapsdeling knyttet til CO</w:t>
      </w:r>
      <w:r>
        <w:rPr>
          <w:rStyle w:val="skrift-senket"/>
          <w:sz w:val="21"/>
          <w:szCs w:val="21"/>
        </w:rPr>
        <w:t>2</w:t>
      </w:r>
      <w:r>
        <w:t xml:space="preserve">-fangst, med særlig fokus på </w:t>
      </w:r>
      <w:proofErr w:type="gramStart"/>
      <w:r>
        <w:t>de</w:t>
      </w:r>
      <w:proofErr w:type="gramEnd"/>
      <w:r>
        <w:t xml:space="preserve"> norske </w:t>
      </w:r>
      <w:proofErr w:type="gramStart"/>
      <w:r>
        <w:t>fullskala</w:t>
      </w:r>
      <w:proofErr w:type="gramEnd"/>
      <w:r>
        <w:t xml:space="preserve"> pr</w:t>
      </w:r>
      <w:r>
        <w:t>o</w:t>
      </w:r>
      <w:r>
        <w:t xml:space="preserve">sjektene. </w:t>
      </w:r>
    </w:p>
    <w:p w:rsidR="00880768" w:rsidRDefault="00880768" w:rsidP="00880768">
      <w:pPr>
        <w:pStyle w:val="Liste"/>
      </w:pPr>
      <w:r>
        <w:t>Utvide fokus geografisk og se på muligheter for bruk av CCS i flere bransjer</w:t>
      </w:r>
    </w:p>
    <w:p w:rsidR="00880768" w:rsidRDefault="00880768" w:rsidP="00880768">
      <w:pPr>
        <w:pStyle w:val="Liste"/>
      </w:pPr>
      <w:r>
        <w:t>Identifisere og legge til rette for testing av nye og kommende fangstteknologier</w:t>
      </w:r>
    </w:p>
    <w:p w:rsidR="00880768" w:rsidRDefault="00880768" w:rsidP="00880768">
      <w:r>
        <w:t>Strategien peker også på behovet for å oppgradere eksisterende infrastruktur, og utvikling av nye og kommende teknologier. Testing av nye teknologier vil sannsynligvis foregå i mindre modulære enheter. Infrastruktur for nye teknologier planlegges som mindre modulære enheter.</w:t>
      </w:r>
    </w:p>
    <w:p w:rsidR="00880768" w:rsidRDefault="00880768" w:rsidP="00880768">
      <w:pPr>
        <w:pStyle w:val="avsnitt-tittel"/>
      </w:pPr>
      <w:r>
        <w:t>Resultatrapport 2017</w:t>
      </w:r>
    </w:p>
    <w:p w:rsidR="00880768" w:rsidRDefault="00880768" w:rsidP="00880768">
      <w:r>
        <w:t>Det er gjennomført to testkampanjer i 2017. Det amerikanske teknologiselskapet ION Engineering avsluttet en vellykket testkampanje i første halvår. ION Engineerings utgifter knyttet til testingen på TCM er finansiert med støtte fra Department of Energy/National Energy Technology Laborat</w:t>
      </w:r>
      <w:r>
        <w:t>o</w:t>
      </w:r>
      <w:r>
        <w:t>ry i USA. Det bilaterale samarbeidet mellom Norge og USA er fortsatt meget nyttig og viktig for TCM. Det er også gjennomført en større åpen vitenskapelig kampanje (MEA3). Denne kampanjen foregikk fra juli og ut året. Kampanjen har vært omfattende med flere sponsorer og samarbeid</w:t>
      </w:r>
      <w:r>
        <w:t>s</w:t>
      </w:r>
      <w:r>
        <w:t>partnere fra industri, akademia og forskningsinstitusjoner. Dette er første gang det er gjennomført en slik åpen kampanje med flere eksterne sponsorer. Potensialet for kunnskapsspredning etter en slik åpen kampanje er meget stort. Resultatene fra denne kampanjen vil bli publisert og presentert bredt i flere fora i løpet av 2018.</w:t>
      </w:r>
    </w:p>
    <w:p w:rsidR="00880768" w:rsidRDefault="00880768" w:rsidP="00880768">
      <w:r>
        <w:t>I tillegg til løpende testkampanjer har TCM økt aktiviteten i 2017 innenfor kunnskapsspredning. I juni 2017 ble det signert en samarbeidsavtale med det kinesiske Guangdong-prosjektet, hvor TCM skal bidra med kompetanse for å bygge opp et mindre testsenter i regionen. TCM fakturerer timer for dette arbeidet og har i tillegg mottatt 350 000 kroner i støtte fra Innovasjon Norge Beijing for å utvikle samarbeidet ytterligere.</w:t>
      </w:r>
    </w:p>
    <w:p w:rsidR="00880768" w:rsidRDefault="00880768" w:rsidP="00880768">
      <w:r>
        <w:t>TCM har også etablert samarbeid med det norske fullskalaprosjektet og det er signert avtaler me</w:t>
      </w:r>
      <w:r>
        <w:t>l</w:t>
      </w:r>
      <w:r>
        <w:t>lom TCM, fangstaktører og teknologileverandører. Hensikten er å bidra med faglig støtte i forbi</w:t>
      </w:r>
      <w:r>
        <w:t>n</w:t>
      </w:r>
      <w:r>
        <w:t xml:space="preserve">delse med valg av teknologi. </w:t>
      </w:r>
    </w:p>
    <w:p w:rsidR="00880768" w:rsidRDefault="00880768" w:rsidP="00880768">
      <w:r>
        <w:t>TCM deltar også i ALIGN CCUS-prosjektet, som er et delprosjekt under EU-prosjektet (ACT) ERA-NET, et co-funding program i Horizon 2020. Det forventes at testkjøringen på TCM for dette programmet vil foregå i 2019. I dette prosjektet er SINTEF en viktig samarbeidspartner for TCM.</w:t>
      </w:r>
    </w:p>
    <w:p w:rsidR="00880768" w:rsidRDefault="00880768" w:rsidP="00880768">
      <w:pPr>
        <w:pStyle w:val="b-post"/>
      </w:pPr>
      <w:r>
        <w:lastRenderedPageBreak/>
        <w:t>Post 72 Fullskala CO</w:t>
      </w:r>
      <w:r>
        <w:rPr>
          <w:rStyle w:val="skrift-senket"/>
          <w:sz w:val="23"/>
          <w:szCs w:val="23"/>
        </w:rPr>
        <w:t>2</w:t>
      </w:r>
      <w:r>
        <w:t xml:space="preserve">-håndtering, </w:t>
      </w:r>
      <w:r>
        <w:br/>
        <w:t>kan overføres, kan nyttes under post 70</w:t>
      </w:r>
    </w:p>
    <w:p w:rsidR="00880768" w:rsidRDefault="00880768" w:rsidP="00880768">
      <w:r>
        <w:t>Posten omfatter utgifter til industriaktørenes arbeid med forprosjektering av CO</w:t>
      </w:r>
      <w:r>
        <w:rPr>
          <w:rStyle w:val="skrift-senket"/>
          <w:sz w:val="21"/>
          <w:szCs w:val="21"/>
        </w:rPr>
        <w:t>2</w:t>
      </w:r>
      <w:r>
        <w:t>-fangst på Fortum Oslo Varmes energigjenvinningsanlegg på Klemetsrud og Norcems sementfabrikk i Brevik. Videre omfatter det utgifter til Equinors forprosjektering av transport og lagring av CO</w:t>
      </w:r>
      <w:r>
        <w:rPr>
          <w:rStyle w:val="skrift-senket"/>
          <w:sz w:val="21"/>
          <w:szCs w:val="21"/>
        </w:rPr>
        <w:t>2</w:t>
      </w:r>
      <w:r>
        <w:t>, som gjennomf</w:t>
      </w:r>
      <w:r>
        <w:t>ø</w:t>
      </w:r>
      <w:r>
        <w:t xml:space="preserve">res i samarbeid med Total og Shell. Foruten utgifter til forprosjektering omfatter budsjettbehovet i 2019 utgifter i perioden før investeringsbeslutning. </w:t>
      </w:r>
    </w:p>
    <w:p w:rsidR="00880768" w:rsidRDefault="00880768" w:rsidP="00880768">
      <w:r>
        <w:t>Det foreslås en bevilgning på 149 mill. kroner. I tillegg foreslås det 6 mill. kroner under kap. 1800, post 21 og 20 mill. kroner under kap. 1840, post 70 til henholdsvis Olje- og energidepartementets og Gassnovas oppfølging av prosjektet.</w:t>
      </w:r>
    </w:p>
    <w:p w:rsidR="00880768" w:rsidRDefault="00524591" w:rsidP="00880768">
      <w:pPr>
        <w:pStyle w:val="del-nr"/>
      </w:pPr>
      <w:r>
        <w:t>Del III</w:t>
      </w:r>
    </w:p>
    <w:p w:rsidR="00880768" w:rsidRDefault="00880768" w:rsidP="00880768">
      <w:pPr>
        <w:pStyle w:val="del-tittel"/>
        <w:rPr>
          <w:w w:val="100"/>
        </w:rPr>
      </w:pPr>
      <w:r>
        <w:rPr>
          <w:w w:val="100"/>
        </w:rPr>
        <w:t>Omtale av særskilde tema</w:t>
      </w:r>
    </w:p>
    <w:p w:rsidR="00880768" w:rsidRDefault="00880768" w:rsidP="00880768">
      <w:pPr>
        <w:pStyle w:val="Overskrift1"/>
      </w:pPr>
      <w:r>
        <w:t>Prosjekt under utbygging</w:t>
      </w:r>
    </w:p>
    <w:p w:rsidR="00880768" w:rsidRDefault="00880768" w:rsidP="00880768">
      <w:r>
        <w:t>Alle prosjekt på norsk sokkel må levere ein plan for utbygging og drift (PUD) eller plan for anlegg og drift (PAD) til godkjenning hos styresmaktene før høvesvis utbygging av ein petroleumsfør</w:t>
      </w:r>
      <w:r>
        <w:t>e</w:t>
      </w:r>
      <w:r>
        <w:t xml:space="preserve">komst eller bygging av eit anlegg for transport og utnytting av petroleum skjer. </w:t>
      </w:r>
    </w:p>
    <w:p w:rsidR="00880768" w:rsidRDefault="00880768" w:rsidP="00880768">
      <w:r>
        <w:t xml:space="preserve">I dette kapitlet er det gitt </w:t>
      </w:r>
      <w:proofErr w:type="gramStart"/>
      <w:r>
        <w:t>ei</w:t>
      </w:r>
      <w:proofErr w:type="gramEnd"/>
      <w:r>
        <w:t xml:space="preserve"> omtale av utviklinga for dei prosjekta der PUD/PAD er godkjent av styresmaktene, men der prosjekta framleis er under utbygging eller sidan fjorårets rapportering har komme i produksjon. Som bakgrunn for omtala har departementet henta inn oppdaterte opply</w:t>
      </w:r>
      <w:r>
        <w:t>s</w:t>
      </w:r>
      <w:r>
        <w:t xml:space="preserve">ningar frå operatørselskapa for dei ulike prosjekta. Rapporteringa inneheld oppdaterte opplysningar per 1. august 2018. </w:t>
      </w:r>
    </w:p>
    <w:p w:rsidR="00880768" w:rsidRDefault="00880768" w:rsidP="00880768">
      <w:r>
        <w:t>Kostnadsoverslaga i PUD/PAD har eit usikkerheitsspenn på +/- 20 prosent. Det betyr at til trass for at operatørane rapporterer inn avvik, så er det ikkje nødvendigvis avvik frå det estimerte kostnad</w:t>
      </w:r>
      <w:r>
        <w:t>s</w:t>
      </w:r>
      <w:r>
        <w:t xml:space="preserve">intervallet for prosjektet. Auka investeringsnivå sidan framlegging av PUD treng heller ikkje </w:t>
      </w:r>
      <w:proofErr w:type="gramStart"/>
      <w:r>
        <w:t>å</w:t>
      </w:r>
      <w:proofErr w:type="gramEnd"/>
      <w:r>
        <w:t xml:space="preserve"> vere negativt for lønnsemda i eit prosjekt. I den grad det høgare investeringsnivået resulterer i auka in</w:t>
      </w:r>
      <w:r>
        <w:t>n</w:t>
      </w:r>
      <w:r>
        <w:t>tekter, kan det medverke til høgare verdiskaping frå prosjekta.</w:t>
      </w:r>
    </w:p>
    <w:p w:rsidR="00880768" w:rsidRDefault="00880768" w:rsidP="00880768">
      <w:r>
        <w:t>Dei fleste prosjekta på norsk sokkel endar opp med utbyggingskostnader innanfor usikkerheit</w:t>
      </w:r>
      <w:r>
        <w:t>s</w:t>
      </w:r>
      <w:r>
        <w:t>spennet som er oppgitt i PUD. Det gjeld også for dei som no er under utbygging. 16 av dei 20 pr</w:t>
      </w:r>
      <w:r>
        <w:t>o</w:t>
      </w:r>
      <w:r>
        <w:t xml:space="preserve">sjekta som det her er gjort greie for har kostnadsanslag innanfor usikkerheitsspennet, eitt er på oversida, medan tre prosjekt har kostnadsanslag som ligg på undersiden av usikkerheitsspennet. </w:t>
      </w:r>
    </w:p>
    <w:p w:rsidR="00880768" w:rsidRDefault="00880768" w:rsidP="00880768">
      <w:r>
        <w:t xml:space="preserve">Sett under eitt for alle prosjekta er dei totale investeringane 19,1 mrd. kroner lågare enn det som vart skissert ved innlevering av PUD/PAD, noko som er ein reduksjon på 4,9 prosent. </w:t>
      </w:r>
    </w:p>
    <w:p w:rsidR="00880768" w:rsidRDefault="00880768" w:rsidP="00880768">
      <w:r>
        <w:t>To prosjekt er ferdigstilt etter fjorårets rapportering (1. august 2017), Maria og Polarled, med i</w:t>
      </w:r>
      <w:r>
        <w:t>n</w:t>
      </w:r>
      <w:r>
        <w:t>vesteringar på til saman om lag 37,1 mrd. kroner.</w:t>
      </w:r>
    </w:p>
    <w:p w:rsidR="00880768" w:rsidRDefault="00880768" w:rsidP="00880768">
      <w:r>
        <w:t xml:space="preserve">Varer og tenester knytte til utbyggingar på norsk sokkel </w:t>
      </w:r>
      <w:proofErr w:type="gramStart"/>
      <w:r>
        <w:t>blir</w:t>
      </w:r>
      <w:proofErr w:type="gramEnd"/>
      <w:r>
        <w:t xml:space="preserve"> </w:t>
      </w:r>
      <w:proofErr w:type="gramStart"/>
      <w:r>
        <w:t>kjøpte</w:t>
      </w:r>
      <w:proofErr w:type="gramEnd"/>
      <w:r>
        <w:t xml:space="preserve"> inn i internasjonal konkurranse. Utviklinga i prisane på varer og tenester ved utbyggingar på norsk sokkel er derfor i stor grad p</w:t>
      </w:r>
      <w:r>
        <w:t>å</w:t>
      </w:r>
      <w:r>
        <w:t>verka av internasjonale forhold. Ei samla næring har jobba hardt med å auke effektiviteten og r</w:t>
      </w:r>
      <w:r>
        <w:t>e</w:t>
      </w:r>
      <w:r>
        <w:t xml:space="preserve">dusere kostnader dei siste åra, og dei utbyggingsprosjekt </w:t>
      </w:r>
      <w:proofErr w:type="gramStart"/>
      <w:r>
        <w:t>det</w:t>
      </w:r>
      <w:proofErr w:type="gramEnd"/>
      <w:r>
        <w:t xml:space="preserve"> leverast utbyggingsplaner for er r</w:t>
      </w:r>
      <w:r>
        <w:t>o</w:t>
      </w:r>
      <w:r>
        <w:t>buste også mot relativt låge prisnivå. Tiltaka har gitt resultat, og skaper grunnlag for god ressur</w:t>
      </w:r>
      <w:r>
        <w:t>s</w:t>
      </w:r>
      <w:r>
        <w:t xml:space="preserve">forvaltning og høg verdiskaping. </w:t>
      </w:r>
    </w:p>
    <w:p w:rsidR="00880768" w:rsidRDefault="00880768" w:rsidP="00880768">
      <w:r>
        <w:lastRenderedPageBreak/>
        <w:t>Svekkinga av krona i dei siste åra påverkar kostnadene på norsk sokkel i motsett retning. Målt i norske kroner har dei delane av prosjektet der kostnadene har vore i utanlandsk valuta auka. For fleire prosjekt utgjer dette ein betydeleg del. Samla sett dreier det seg likevel om store, netto kos</w:t>
      </w:r>
      <w:r>
        <w:t>t</w:t>
      </w:r>
      <w:r>
        <w:t xml:space="preserve">nadsreduksjonar for prosjekta sett under eitt. </w:t>
      </w:r>
    </w:p>
    <w:p w:rsidR="00880768" w:rsidRDefault="00880768" w:rsidP="00880768">
      <w:r>
        <w:t>Styresmaktene mottok ti nye utbyggingsplanar i 2017. Hittil i 2018 er det levert inn nye utby</w:t>
      </w:r>
      <w:r>
        <w:t>g</w:t>
      </w:r>
      <w:r>
        <w:t xml:space="preserve">gingsplanar for Troll fase 3, Johan Sverdrup byggjetrinn II og Nova. </w:t>
      </w:r>
    </w:p>
    <w:p w:rsidR="00880768" w:rsidRDefault="00880768" w:rsidP="00880768">
      <w:r>
        <w:t xml:space="preserve">Tabell 8.1 og 8.2 viser </w:t>
      </w:r>
      <w:proofErr w:type="gramStart"/>
      <w:r>
        <w:t>ei</w:t>
      </w:r>
      <w:proofErr w:type="gramEnd"/>
      <w:r>
        <w:t xml:space="preserve"> oversikt over skilnaden mellom operatørane sine investeringsoverslag på PUD/PAD-tidspunktet og overslaga deira per 1. august 2018, og endringa i investeringsoverslaget sidan fjorårets rapportering i Prop. 1 S (2017–2018) for Olje- og energidepartementet.</w:t>
      </w:r>
    </w:p>
    <w:p w:rsidR="00532ECF" w:rsidRDefault="00532ECF" w:rsidP="0063539A">
      <w:pPr>
        <w:pStyle w:val="tabell-tittel"/>
      </w:pPr>
      <w:r>
        <w:t>Investeringsoverslag, prosjekt under utbygging</w:t>
      </w:r>
    </w:p>
    <w:p w:rsidR="00880768" w:rsidRDefault="00880768" w:rsidP="00880768">
      <w:pPr>
        <w:pStyle w:val="Tabellnavn"/>
      </w:pPr>
      <w:r>
        <w:t>07J2xt2</w:t>
      </w:r>
    </w:p>
    <w:tbl>
      <w:tblPr>
        <w:tblStyle w:val="StandardTabell"/>
        <w:tblW w:w="0" w:type="auto"/>
        <w:tblLayout w:type="fixed"/>
        <w:tblLook w:val="04A0" w:firstRow="1" w:lastRow="0" w:firstColumn="1" w:lastColumn="0" w:noHBand="0" w:noVBand="1"/>
      </w:tblPr>
      <w:tblGrid>
        <w:gridCol w:w="2720"/>
        <w:gridCol w:w="1100"/>
        <w:gridCol w:w="1100"/>
        <w:gridCol w:w="1100"/>
        <w:gridCol w:w="1100"/>
        <w:gridCol w:w="1100"/>
        <w:gridCol w:w="1340"/>
      </w:tblGrid>
      <w:tr w:rsidR="00880768" w:rsidTr="00880768">
        <w:trPr>
          <w:trHeight w:val="360"/>
        </w:trPr>
        <w:tc>
          <w:tcPr>
            <w:tcW w:w="2720" w:type="dxa"/>
          </w:tcPr>
          <w:p w:rsidR="00880768" w:rsidRDefault="00880768" w:rsidP="00880768">
            <w:r>
              <w:t xml:space="preserve"> </w:t>
            </w:r>
          </w:p>
        </w:tc>
        <w:tc>
          <w:tcPr>
            <w:tcW w:w="1100" w:type="dxa"/>
          </w:tcPr>
          <w:p w:rsidR="00880768" w:rsidRDefault="00880768" w:rsidP="00880768">
            <w:r>
              <w:t xml:space="preserve"> </w:t>
            </w:r>
          </w:p>
        </w:tc>
        <w:tc>
          <w:tcPr>
            <w:tcW w:w="1100" w:type="dxa"/>
          </w:tcPr>
          <w:p w:rsidR="00880768" w:rsidRDefault="00880768" w:rsidP="00880768">
            <w:r>
              <w:t xml:space="preserve"> </w:t>
            </w:r>
          </w:p>
        </w:tc>
        <w:tc>
          <w:tcPr>
            <w:tcW w:w="1100" w:type="dxa"/>
          </w:tcPr>
          <w:p w:rsidR="00880768" w:rsidRDefault="00880768" w:rsidP="00880768">
            <w:r>
              <w:t xml:space="preserve"> </w:t>
            </w:r>
          </w:p>
        </w:tc>
        <w:tc>
          <w:tcPr>
            <w:tcW w:w="1100" w:type="dxa"/>
          </w:tcPr>
          <w:p w:rsidR="00880768" w:rsidRDefault="00880768" w:rsidP="00880768">
            <w:r>
              <w:t xml:space="preserve"> </w:t>
            </w:r>
          </w:p>
        </w:tc>
        <w:tc>
          <w:tcPr>
            <w:tcW w:w="2440" w:type="dxa"/>
            <w:gridSpan w:val="2"/>
          </w:tcPr>
          <w:p w:rsidR="00880768" w:rsidRDefault="00880768" w:rsidP="00880768">
            <w:r>
              <w:t>(i mill. 2018-kroner)</w:t>
            </w:r>
          </w:p>
        </w:tc>
      </w:tr>
      <w:tr w:rsidR="00880768" w:rsidTr="00880768">
        <w:trPr>
          <w:trHeight w:val="600"/>
        </w:trPr>
        <w:tc>
          <w:tcPr>
            <w:tcW w:w="2720" w:type="dxa"/>
          </w:tcPr>
          <w:p w:rsidR="00880768" w:rsidRDefault="00880768" w:rsidP="00880768">
            <w:r>
              <w:t xml:space="preserve"> </w:t>
            </w:r>
          </w:p>
        </w:tc>
        <w:tc>
          <w:tcPr>
            <w:tcW w:w="1100" w:type="dxa"/>
          </w:tcPr>
          <w:p w:rsidR="00880768" w:rsidRDefault="00880768" w:rsidP="00880768">
            <w:r>
              <w:t>PUD/PAD- go</w:t>
            </w:r>
            <w:r>
              <w:t>d</w:t>
            </w:r>
            <w:r>
              <w:t>kjent</w:t>
            </w:r>
          </w:p>
        </w:tc>
        <w:tc>
          <w:tcPr>
            <w:tcW w:w="1100" w:type="dxa"/>
          </w:tcPr>
          <w:p w:rsidR="00880768" w:rsidRDefault="00880768" w:rsidP="00880768">
            <w:r>
              <w:t>PUD/PAD-estimat</w:t>
            </w:r>
          </w:p>
        </w:tc>
        <w:tc>
          <w:tcPr>
            <w:tcW w:w="1100" w:type="dxa"/>
          </w:tcPr>
          <w:p w:rsidR="00880768" w:rsidRDefault="00880768" w:rsidP="00880768">
            <w:r>
              <w:t xml:space="preserve">Nye </w:t>
            </w:r>
            <w:r>
              <w:rPr>
                <w:sz w:val="22"/>
              </w:rPr>
              <w:br/>
            </w:r>
            <w:r>
              <w:t>anslag</w:t>
            </w:r>
          </w:p>
        </w:tc>
        <w:tc>
          <w:tcPr>
            <w:tcW w:w="1100" w:type="dxa"/>
          </w:tcPr>
          <w:p w:rsidR="00880768" w:rsidRDefault="00880768" w:rsidP="00880768">
            <w:r>
              <w:t xml:space="preserve">Endring </w:t>
            </w:r>
            <w:r>
              <w:rPr>
                <w:sz w:val="22"/>
              </w:rPr>
              <w:br/>
            </w:r>
            <w:r>
              <w:t>frå i fjor</w:t>
            </w:r>
          </w:p>
        </w:tc>
        <w:tc>
          <w:tcPr>
            <w:tcW w:w="1100" w:type="dxa"/>
          </w:tcPr>
          <w:p w:rsidR="00880768" w:rsidRDefault="00880768" w:rsidP="00880768">
            <w:r>
              <w:t>Tota</w:t>
            </w:r>
            <w:r>
              <w:t>l</w:t>
            </w:r>
            <w:r>
              <w:t>endring</w:t>
            </w:r>
          </w:p>
        </w:tc>
        <w:tc>
          <w:tcPr>
            <w:tcW w:w="1340" w:type="dxa"/>
          </w:tcPr>
          <w:p w:rsidR="00880768" w:rsidRDefault="00880768" w:rsidP="00833E14">
            <w:r>
              <w:t>Totalen</w:t>
            </w:r>
            <w:r>
              <w:t>d</w:t>
            </w:r>
            <w:r>
              <w:t>ring</w:t>
            </w:r>
            <w:r w:rsidR="00833E14">
              <w:t xml:space="preserve"> </w:t>
            </w:r>
            <w:r w:rsidR="00833E14">
              <w:rPr>
                <w:sz w:val="22"/>
              </w:rPr>
              <w:br/>
            </w:r>
            <w:r>
              <w:t>i prosent</w:t>
            </w:r>
          </w:p>
        </w:tc>
      </w:tr>
      <w:tr w:rsidR="00880768" w:rsidTr="00880768">
        <w:trPr>
          <w:trHeight w:val="380"/>
        </w:trPr>
        <w:tc>
          <w:tcPr>
            <w:tcW w:w="2720" w:type="dxa"/>
          </w:tcPr>
          <w:p w:rsidR="00880768" w:rsidRDefault="00880768" w:rsidP="00880768">
            <w:r>
              <w:t>Johan Castberg</w:t>
            </w:r>
          </w:p>
        </w:tc>
        <w:tc>
          <w:tcPr>
            <w:tcW w:w="1100" w:type="dxa"/>
          </w:tcPr>
          <w:p w:rsidR="00880768" w:rsidRDefault="00880768" w:rsidP="00880768">
            <w:r>
              <w:t xml:space="preserve"> 2018 </w:t>
            </w:r>
          </w:p>
        </w:tc>
        <w:tc>
          <w:tcPr>
            <w:tcW w:w="1100" w:type="dxa"/>
          </w:tcPr>
          <w:p w:rsidR="00880768" w:rsidRDefault="00880768" w:rsidP="00880768">
            <w:r>
              <w:t xml:space="preserve"> 48 389 </w:t>
            </w:r>
          </w:p>
        </w:tc>
        <w:tc>
          <w:tcPr>
            <w:tcW w:w="1100" w:type="dxa"/>
          </w:tcPr>
          <w:p w:rsidR="00880768" w:rsidRDefault="00880768" w:rsidP="00880768">
            <w:r>
              <w:t xml:space="preserve"> 48 756 </w:t>
            </w:r>
          </w:p>
        </w:tc>
        <w:tc>
          <w:tcPr>
            <w:tcW w:w="1100" w:type="dxa"/>
          </w:tcPr>
          <w:p w:rsidR="00880768" w:rsidRDefault="00880768" w:rsidP="00880768">
            <w:r>
              <w:t xml:space="preserve"> – </w:t>
            </w:r>
          </w:p>
        </w:tc>
        <w:tc>
          <w:tcPr>
            <w:tcW w:w="1100" w:type="dxa"/>
          </w:tcPr>
          <w:p w:rsidR="00880768" w:rsidRDefault="00880768" w:rsidP="00880768">
            <w:r>
              <w:t xml:space="preserve"> 367 </w:t>
            </w:r>
          </w:p>
        </w:tc>
        <w:tc>
          <w:tcPr>
            <w:tcW w:w="1340" w:type="dxa"/>
          </w:tcPr>
          <w:p w:rsidR="00880768" w:rsidRDefault="00880768" w:rsidP="00880768">
            <w:r>
              <w:t>1</w:t>
            </w:r>
          </w:p>
        </w:tc>
      </w:tr>
      <w:tr w:rsidR="00880768" w:rsidTr="00880768">
        <w:trPr>
          <w:trHeight w:val="380"/>
        </w:trPr>
        <w:tc>
          <w:tcPr>
            <w:tcW w:w="2720" w:type="dxa"/>
          </w:tcPr>
          <w:p w:rsidR="00880768" w:rsidRDefault="00880768" w:rsidP="00880768">
            <w:r>
              <w:t>Skogul</w:t>
            </w:r>
          </w:p>
        </w:tc>
        <w:tc>
          <w:tcPr>
            <w:tcW w:w="1100" w:type="dxa"/>
          </w:tcPr>
          <w:p w:rsidR="00880768" w:rsidRDefault="00880768" w:rsidP="00880768">
            <w:r>
              <w:t xml:space="preserve"> 2018 </w:t>
            </w:r>
          </w:p>
        </w:tc>
        <w:tc>
          <w:tcPr>
            <w:tcW w:w="1100" w:type="dxa"/>
          </w:tcPr>
          <w:p w:rsidR="00880768" w:rsidRDefault="00880768" w:rsidP="00880768">
            <w:r>
              <w:t xml:space="preserve"> 1 526 </w:t>
            </w:r>
          </w:p>
        </w:tc>
        <w:tc>
          <w:tcPr>
            <w:tcW w:w="1100" w:type="dxa"/>
          </w:tcPr>
          <w:p w:rsidR="00880768" w:rsidRDefault="00880768" w:rsidP="00880768">
            <w:r>
              <w:t xml:space="preserve"> 1 526 </w:t>
            </w:r>
          </w:p>
        </w:tc>
        <w:tc>
          <w:tcPr>
            <w:tcW w:w="1100" w:type="dxa"/>
          </w:tcPr>
          <w:p w:rsidR="00880768" w:rsidRDefault="00880768" w:rsidP="00880768">
            <w:r>
              <w:t xml:space="preserve"> – </w:t>
            </w:r>
          </w:p>
        </w:tc>
        <w:tc>
          <w:tcPr>
            <w:tcW w:w="1100" w:type="dxa"/>
          </w:tcPr>
          <w:p w:rsidR="00880768" w:rsidRDefault="00880768" w:rsidP="00880768">
            <w:r>
              <w:t xml:space="preserve"> – </w:t>
            </w:r>
          </w:p>
        </w:tc>
        <w:tc>
          <w:tcPr>
            <w:tcW w:w="1340" w:type="dxa"/>
          </w:tcPr>
          <w:p w:rsidR="00880768" w:rsidRDefault="00880768" w:rsidP="00880768">
            <w:r>
              <w:t>0</w:t>
            </w:r>
          </w:p>
        </w:tc>
      </w:tr>
      <w:tr w:rsidR="00880768" w:rsidTr="00880768">
        <w:trPr>
          <w:trHeight w:val="380"/>
        </w:trPr>
        <w:tc>
          <w:tcPr>
            <w:tcW w:w="2720" w:type="dxa"/>
          </w:tcPr>
          <w:p w:rsidR="00880768" w:rsidRDefault="00880768" w:rsidP="00880768">
            <w:r>
              <w:t>Fenja</w:t>
            </w:r>
          </w:p>
        </w:tc>
        <w:tc>
          <w:tcPr>
            <w:tcW w:w="1100" w:type="dxa"/>
          </w:tcPr>
          <w:p w:rsidR="00880768" w:rsidRDefault="00880768" w:rsidP="00880768">
            <w:r>
              <w:t xml:space="preserve"> 2018 </w:t>
            </w:r>
          </w:p>
        </w:tc>
        <w:tc>
          <w:tcPr>
            <w:tcW w:w="1100" w:type="dxa"/>
          </w:tcPr>
          <w:p w:rsidR="00880768" w:rsidRDefault="00880768" w:rsidP="00880768">
            <w:r>
              <w:t xml:space="preserve"> 10 459 </w:t>
            </w:r>
          </w:p>
        </w:tc>
        <w:tc>
          <w:tcPr>
            <w:tcW w:w="1100" w:type="dxa"/>
          </w:tcPr>
          <w:p w:rsidR="00880768" w:rsidRDefault="00880768" w:rsidP="00880768">
            <w:r>
              <w:t xml:space="preserve"> 10 151 </w:t>
            </w:r>
          </w:p>
        </w:tc>
        <w:tc>
          <w:tcPr>
            <w:tcW w:w="1100" w:type="dxa"/>
          </w:tcPr>
          <w:p w:rsidR="00880768" w:rsidRDefault="00880768" w:rsidP="00880768">
            <w:r>
              <w:t xml:space="preserve"> – </w:t>
            </w:r>
          </w:p>
        </w:tc>
        <w:tc>
          <w:tcPr>
            <w:tcW w:w="1100" w:type="dxa"/>
          </w:tcPr>
          <w:p w:rsidR="00880768" w:rsidRDefault="00880768" w:rsidP="00880768">
            <w:r>
              <w:t xml:space="preserve"> -308 </w:t>
            </w:r>
          </w:p>
        </w:tc>
        <w:tc>
          <w:tcPr>
            <w:tcW w:w="1340" w:type="dxa"/>
          </w:tcPr>
          <w:p w:rsidR="00880768" w:rsidRDefault="00880768" w:rsidP="00880768">
            <w:r>
              <w:t>-3</w:t>
            </w:r>
          </w:p>
        </w:tc>
      </w:tr>
      <w:tr w:rsidR="00880768" w:rsidTr="00880768">
        <w:trPr>
          <w:trHeight w:val="380"/>
        </w:trPr>
        <w:tc>
          <w:tcPr>
            <w:tcW w:w="2720" w:type="dxa"/>
          </w:tcPr>
          <w:p w:rsidR="00880768" w:rsidRDefault="00880768" w:rsidP="00880768">
            <w:r>
              <w:t>Valhall Flanke Vest</w:t>
            </w:r>
          </w:p>
        </w:tc>
        <w:tc>
          <w:tcPr>
            <w:tcW w:w="1100" w:type="dxa"/>
          </w:tcPr>
          <w:p w:rsidR="00880768" w:rsidRDefault="00880768" w:rsidP="00880768">
            <w:r>
              <w:t xml:space="preserve"> 2018 </w:t>
            </w:r>
          </w:p>
        </w:tc>
        <w:tc>
          <w:tcPr>
            <w:tcW w:w="1100" w:type="dxa"/>
          </w:tcPr>
          <w:p w:rsidR="00880768" w:rsidRDefault="00880768" w:rsidP="00880768">
            <w:r>
              <w:t xml:space="preserve"> 5 592 </w:t>
            </w:r>
          </w:p>
        </w:tc>
        <w:tc>
          <w:tcPr>
            <w:tcW w:w="1100" w:type="dxa"/>
          </w:tcPr>
          <w:p w:rsidR="00880768" w:rsidRDefault="00880768" w:rsidP="00880768">
            <w:r>
              <w:t xml:space="preserve"> 5 592 </w:t>
            </w:r>
          </w:p>
        </w:tc>
        <w:tc>
          <w:tcPr>
            <w:tcW w:w="1100" w:type="dxa"/>
          </w:tcPr>
          <w:p w:rsidR="00880768" w:rsidRDefault="00880768" w:rsidP="00880768">
            <w:r>
              <w:t xml:space="preserve"> – </w:t>
            </w:r>
          </w:p>
        </w:tc>
        <w:tc>
          <w:tcPr>
            <w:tcW w:w="1100" w:type="dxa"/>
          </w:tcPr>
          <w:p w:rsidR="00880768" w:rsidRDefault="00880768" w:rsidP="00880768">
            <w:r>
              <w:t xml:space="preserve"> – </w:t>
            </w:r>
          </w:p>
        </w:tc>
        <w:tc>
          <w:tcPr>
            <w:tcW w:w="1340" w:type="dxa"/>
          </w:tcPr>
          <w:p w:rsidR="00880768" w:rsidRDefault="00880768" w:rsidP="00880768">
            <w:r>
              <w:t>0</w:t>
            </w:r>
          </w:p>
        </w:tc>
      </w:tr>
      <w:tr w:rsidR="00880768" w:rsidTr="00880768">
        <w:trPr>
          <w:trHeight w:val="640"/>
        </w:trPr>
        <w:tc>
          <w:tcPr>
            <w:tcW w:w="2720" w:type="dxa"/>
          </w:tcPr>
          <w:p w:rsidR="00880768" w:rsidRDefault="00880768" w:rsidP="00880768">
            <w:r>
              <w:t>Snorre Expansion Project (SEP)</w:t>
            </w:r>
          </w:p>
        </w:tc>
        <w:tc>
          <w:tcPr>
            <w:tcW w:w="1100" w:type="dxa"/>
          </w:tcPr>
          <w:p w:rsidR="00880768" w:rsidRDefault="00880768" w:rsidP="00880768">
            <w:r>
              <w:t xml:space="preserve"> 2018 </w:t>
            </w:r>
          </w:p>
        </w:tc>
        <w:tc>
          <w:tcPr>
            <w:tcW w:w="1100" w:type="dxa"/>
          </w:tcPr>
          <w:p w:rsidR="00880768" w:rsidRDefault="00880768" w:rsidP="00880768">
            <w:r>
              <w:t xml:space="preserve"> 19 748 </w:t>
            </w:r>
          </w:p>
        </w:tc>
        <w:tc>
          <w:tcPr>
            <w:tcW w:w="1100" w:type="dxa"/>
          </w:tcPr>
          <w:p w:rsidR="00880768" w:rsidRDefault="00880768" w:rsidP="00880768">
            <w:r>
              <w:t xml:space="preserve"> 19 475 </w:t>
            </w:r>
          </w:p>
        </w:tc>
        <w:tc>
          <w:tcPr>
            <w:tcW w:w="1100" w:type="dxa"/>
          </w:tcPr>
          <w:p w:rsidR="00880768" w:rsidRDefault="00880768" w:rsidP="00880768">
            <w:r>
              <w:t xml:space="preserve"> – </w:t>
            </w:r>
          </w:p>
        </w:tc>
        <w:tc>
          <w:tcPr>
            <w:tcW w:w="1100" w:type="dxa"/>
          </w:tcPr>
          <w:p w:rsidR="00880768" w:rsidRDefault="00880768" w:rsidP="00880768">
            <w:r>
              <w:t xml:space="preserve"> -273 </w:t>
            </w:r>
          </w:p>
        </w:tc>
        <w:tc>
          <w:tcPr>
            <w:tcW w:w="1340" w:type="dxa"/>
          </w:tcPr>
          <w:p w:rsidR="00880768" w:rsidRDefault="00880768" w:rsidP="00880768">
            <w:r>
              <w:t>-1</w:t>
            </w:r>
          </w:p>
        </w:tc>
      </w:tr>
      <w:tr w:rsidR="00880768" w:rsidTr="00880768">
        <w:trPr>
          <w:trHeight w:val="380"/>
        </w:trPr>
        <w:tc>
          <w:tcPr>
            <w:tcW w:w="2720" w:type="dxa"/>
          </w:tcPr>
          <w:p w:rsidR="00880768" w:rsidRDefault="00880768" w:rsidP="00880768">
            <w:r>
              <w:t>Ærfugl</w:t>
            </w:r>
          </w:p>
        </w:tc>
        <w:tc>
          <w:tcPr>
            <w:tcW w:w="1100" w:type="dxa"/>
          </w:tcPr>
          <w:p w:rsidR="00880768" w:rsidRDefault="00880768" w:rsidP="00880768">
            <w:r>
              <w:t xml:space="preserve"> 2018 </w:t>
            </w:r>
          </w:p>
        </w:tc>
        <w:tc>
          <w:tcPr>
            <w:tcW w:w="1100" w:type="dxa"/>
          </w:tcPr>
          <w:p w:rsidR="00880768" w:rsidRDefault="00880768" w:rsidP="00880768">
            <w:r>
              <w:t xml:space="preserve"> 8 489 </w:t>
            </w:r>
          </w:p>
        </w:tc>
        <w:tc>
          <w:tcPr>
            <w:tcW w:w="1100" w:type="dxa"/>
          </w:tcPr>
          <w:p w:rsidR="00880768" w:rsidRDefault="00880768" w:rsidP="00880768">
            <w:r>
              <w:t xml:space="preserve"> 8 231 </w:t>
            </w:r>
          </w:p>
        </w:tc>
        <w:tc>
          <w:tcPr>
            <w:tcW w:w="1100" w:type="dxa"/>
          </w:tcPr>
          <w:p w:rsidR="00880768" w:rsidRDefault="00880768" w:rsidP="00880768">
            <w:r>
              <w:t xml:space="preserve"> – </w:t>
            </w:r>
          </w:p>
        </w:tc>
        <w:tc>
          <w:tcPr>
            <w:tcW w:w="1100" w:type="dxa"/>
          </w:tcPr>
          <w:p w:rsidR="00880768" w:rsidRDefault="00880768" w:rsidP="00880768">
            <w:r>
              <w:t xml:space="preserve"> -258 </w:t>
            </w:r>
          </w:p>
        </w:tc>
        <w:tc>
          <w:tcPr>
            <w:tcW w:w="1340" w:type="dxa"/>
          </w:tcPr>
          <w:p w:rsidR="00880768" w:rsidRDefault="00880768" w:rsidP="00880768">
            <w:r>
              <w:t>-3</w:t>
            </w:r>
          </w:p>
        </w:tc>
      </w:tr>
      <w:tr w:rsidR="00880768" w:rsidTr="00880768">
        <w:trPr>
          <w:trHeight w:val="380"/>
        </w:trPr>
        <w:tc>
          <w:tcPr>
            <w:tcW w:w="2720" w:type="dxa"/>
          </w:tcPr>
          <w:p w:rsidR="00880768" w:rsidRDefault="00880768" w:rsidP="00880768">
            <w:r>
              <w:t>Yme New Development</w:t>
            </w:r>
          </w:p>
        </w:tc>
        <w:tc>
          <w:tcPr>
            <w:tcW w:w="1100" w:type="dxa"/>
          </w:tcPr>
          <w:p w:rsidR="00880768" w:rsidRDefault="00880768" w:rsidP="00880768">
            <w:r>
              <w:t xml:space="preserve"> 2018 </w:t>
            </w:r>
          </w:p>
        </w:tc>
        <w:tc>
          <w:tcPr>
            <w:tcW w:w="1100" w:type="dxa"/>
          </w:tcPr>
          <w:p w:rsidR="00880768" w:rsidRDefault="00880768" w:rsidP="00880768">
            <w:r>
              <w:t xml:space="preserve"> 8 437 </w:t>
            </w:r>
          </w:p>
        </w:tc>
        <w:tc>
          <w:tcPr>
            <w:tcW w:w="1100" w:type="dxa"/>
          </w:tcPr>
          <w:p w:rsidR="00880768" w:rsidRDefault="00880768" w:rsidP="00880768">
            <w:r>
              <w:t xml:space="preserve"> 8 612 </w:t>
            </w:r>
          </w:p>
        </w:tc>
        <w:tc>
          <w:tcPr>
            <w:tcW w:w="1100" w:type="dxa"/>
          </w:tcPr>
          <w:p w:rsidR="00880768" w:rsidRDefault="00880768" w:rsidP="00880768">
            <w:r>
              <w:t xml:space="preserve"> – </w:t>
            </w:r>
          </w:p>
        </w:tc>
        <w:tc>
          <w:tcPr>
            <w:tcW w:w="1100" w:type="dxa"/>
          </w:tcPr>
          <w:p w:rsidR="00880768" w:rsidRDefault="00880768" w:rsidP="00880768">
            <w:r>
              <w:t xml:space="preserve"> 175 </w:t>
            </w:r>
          </w:p>
        </w:tc>
        <w:tc>
          <w:tcPr>
            <w:tcW w:w="1340" w:type="dxa"/>
          </w:tcPr>
          <w:p w:rsidR="00880768" w:rsidRDefault="00880768" w:rsidP="00880768">
            <w:r>
              <w:t>2</w:t>
            </w:r>
          </w:p>
        </w:tc>
      </w:tr>
      <w:tr w:rsidR="00880768" w:rsidTr="00880768">
        <w:trPr>
          <w:trHeight w:val="380"/>
        </w:trPr>
        <w:tc>
          <w:tcPr>
            <w:tcW w:w="2720" w:type="dxa"/>
          </w:tcPr>
          <w:p w:rsidR="00880768" w:rsidRDefault="00880768" w:rsidP="00880768">
            <w:r>
              <w:t xml:space="preserve">Njord future </w:t>
            </w:r>
          </w:p>
        </w:tc>
        <w:tc>
          <w:tcPr>
            <w:tcW w:w="1100" w:type="dxa"/>
          </w:tcPr>
          <w:p w:rsidR="00880768" w:rsidRDefault="00880768" w:rsidP="00880768">
            <w:r>
              <w:t xml:space="preserve"> 2017 </w:t>
            </w:r>
          </w:p>
        </w:tc>
        <w:tc>
          <w:tcPr>
            <w:tcW w:w="1100" w:type="dxa"/>
          </w:tcPr>
          <w:p w:rsidR="00880768" w:rsidRDefault="00880768" w:rsidP="00880768">
            <w:r>
              <w:t xml:space="preserve"> 15 459 </w:t>
            </w:r>
          </w:p>
        </w:tc>
        <w:tc>
          <w:tcPr>
            <w:tcW w:w="1100" w:type="dxa"/>
          </w:tcPr>
          <w:p w:rsidR="00880768" w:rsidRDefault="00880768" w:rsidP="00880768">
            <w:r>
              <w:t xml:space="preserve"> 15 560 </w:t>
            </w:r>
          </w:p>
        </w:tc>
        <w:tc>
          <w:tcPr>
            <w:tcW w:w="1100" w:type="dxa"/>
          </w:tcPr>
          <w:p w:rsidR="00880768" w:rsidRDefault="00880768" w:rsidP="00880768">
            <w:r>
              <w:t xml:space="preserve"> 207 </w:t>
            </w:r>
          </w:p>
        </w:tc>
        <w:tc>
          <w:tcPr>
            <w:tcW w:w="1100" w:type="dxa"/>
          </w:tcPr>
          <w:p w:rsidR="00880768" w:rsidRDefault="00880768" w:rsidP="00880768">
            <w:r>
              <w:t xml:space="preserve"> 101 </w:t>
            </w:r>
          </w:p>
        </w:tc>
        <w:tc>
          <w:tcPr>
            <w:tcW w:w="1340" w:type="dxa"/>
          </w:tcPr>
          <w:p w:rsidR="00880768" w:rsidRDefault="00880768" w:rsidP="00880768">
            <w:r>
              <w:t>1</w:t>
            </w:r>
          </w:p>
        </w:tc>
      </w:tr>
      <w:tr w:rsidR="00880768" w:rsidTr="00880768">
        <w:trPr>
          <w:trHeight w:val="380"/>
        </w:trPr>
        <w:tc>
          <w:tcPr>
            <w:tcW w:w="2720" w:type="dxa"/>
          </w:tcPr>
          <w:p w:rsidR="00880768" w:rsidRDefault="00880768" w:rsidP="00880768">
            <w:r>
              <w:t>Bauge</w:t>
            </w:r>
          </w:p>
        </w:tc>
        <w:tc>
          <w:tcPr>
            <w:tcW w:w="1100" w:type="dxa"/>
          </w:tcPr>
          <w:p w:rsidR="00880768" w:rsidRDefault="00880768" w:rsidP="00880768">
            <w:r>
              <w:t xml:space="preserve"> 2017 </w:t>
            </w:r>
          </w:p>
        </w:tc>
        <w:tc>
          <w:tcPr>
            <w:tcW w:w="1100" w:type="dxa"/>
          </w:tcPr>
          <w:p w:rsidR="00880768" w:rsidRDefault="00880768" w:rsidP="00880768">
            <w:r>
              <w:t xml:space="preserve"> 4 024 </w:t>
            </w:r>
          </w:p>
        </w:tc>
        <w:tc>
          <w:tcPr>
            <w:tcW w:w="1100" w:type="dxa"/>
          </w:tcPr>
          <w:p w:rsidR="00880768" w:rsidRDefault="00880768" w:rsidP="00880768">
            <w:r>
              <w:t xml:space="preserve"> 3 766 </w:t>
            </w:r>
          </w:p>
        </w:tc>
        <w:tc>
          <w:tcPr>
            <w:tcW w:w="1100" w:type="dxa"/>
          </w:tcPr>
          <w:p w:rsidR="00880768" w:rsidRDefault="00880768" w:rsidP="00880768">
            <w:r>
              <w:t xml:space="preserve"> -139 </w:t>
            </w:r>
          </w:p>
        </w:tc>
        <w:tc>
          <w:tcPr>
            <w:tcW w:w="1100" w:type="dxa"/>
          </w:tcPr>
          <w:p w:rsidR="00880768" w:rsidRDefault="00880768" w:rsidP="00880768">
            <w:r>
              <w:t xml:space="preserve"> -258 </w:t>
            </w:r>
          </w:p>
        </w:tc>
        <w:tc>
          <w:tcPr>
            <w:tcW w:w="1340" w:type="dxa"/>
          </w:tcPr>
          <w:p w:rsidR="00880768" w:rsidRDefault="00880768" w:rsidP="00880768">
            <w:r>
              <w:t>-6</w:t>
            </w:r>
          </w:p>
        </w:tc>
      </w:tr>
      <w:tr w:rsidR="00880768" w:rsidTr="00880768">
        <w:trPr>
          <w:trHeight w:val="380"/>
        </w:trPr>
        <w:tc>
          <w:tcPr>
            <w:tcW w:w="2720" w:type="dxa"/>
          </w:tcPr>
          <w:p w:rsidR="00880768" w:rsidRDefault="00880768" w:rsidP="00880768">
            <w:r>
              <w:t>Oda</w:t>
            </w:r>
          </w:p>
        </w:tc>
        <w:tc>
          <w:tcPr>
            <w:tcW w:w="1100" w:type="dxa"/>
          </w:tcPr>
          <w:p w:rsidR="00880768" w:rsidRDefault="00880768" w:rsidP="00880768">
            <w:r>
              <w:t xml:space="preserve"> 2017 </w:t>
            </w:r>
          </w:p>
        </w:tc>
        <w:tc>
          <w:tcPr>
            <w:tcW w:w="1100" w:type="dxa"/>
          </w:tcPr>
          <w:p w:rsidR="00880768" w:rsidRDefault="00880768" w:rsidP="00880768">
            <w:r>
              <w:t xml:space="preserve"> 5 642 </w:t>
            </w:r>
          </w:p>
        </w:tc>
        <w:tc>
          <w:tcPr>
            <w:tcW w:w="1100" w:type="dxa"/>
          </w:tcPr>
          <w:p w:rsidR="00880768" w:rsidRDefault="00880768" w:rsidP="00880768">
            <w:r>
              <w:t xml:space="preserve"> 5 642 </w:t>
            </w:r>
          </w:p>
        </w:tc>
        <w:tc>
          <w:tcPr>
            <w:tcW w:w="1100" w:type="dxa"/>
          </w:tcPr>
          <w:p w:rsidR="00880768" w:rsidRDefault="00880768" w:rsidP="00880768">
            <w:r>
              <w:t xml:space="preserve"> – </w:t>
            </w:r>
          </w:p>
        </w:tc>
        <w:tc>
          <w:tcPr>
            <w:tcW w:w="1100" w:type="dxa"/>
          </w:tcPr>
          <w:p w:rsidR="00880768" w:rsidRDefault="00880768" w:rsidP="00880768">
            <w:r>
              <w:t xml:space="preserve"> – </w:t>
            </w:r>
          </w:p>
        </w:tc>
        <w:tc>
          <w:tcPr>
            <w:tcW w:w="1340" w:type="dxa"/>
          </w:tcPr>
          <w:p w:rsidR="00880768" w:rsidRDefault="00880768" w:rsidP="00880768">
            <w:r>
              <w:t>0</w:t>
            </w:r>
          </w:p>
        </w:tc>
      </w:tr>
      <w:tr w:rsidR="00880768" w:rsidTr="00880768">
        <w:trPr>
          <w:trHeight w:val="380"/>
        </w:trPr>
        <w:tc>
          <w:tcPr>
            <w:tcW w:w="2720" w:type="dxa"/>
          </w:tcPr>
          <w:p w:rsidR="00880768" w:rsidRDefault="00880768" w:rsidP="00880768">
            <w:r>
              <w:t>Trestakk</w:t>
            </w:r>
          </w:p>
        </w:tc>
        <w:tc>
          <w:tcPr>
            <w:tcW w:w="1100" w:type="dxa"/>
          </w:tcPr>
          <w:p w:rsidR="00880768" w:rsidRDefault="00880768" w:rsidP="00880768">
            <w:r>
              <w:t xml:space="preserve"> 2017 </w:t>
            </w:r>
          </w:p>
        </w:tc>
        <w:tc>
          <w:tcPr>
            <w:tcW w:w="1100" w:type="dxa"/>
          </w:tcPr>
          <w:p w:rsidR="00880768" w:rsidRDefault="00880768" w:rsidP="00880768">
            <w:r>
              <w:t xml:space="preserve"> 5 692 </w:t>
            </w:r>
          </w:p>
        </w:tc>
        <w:tc>
          <w:tcPr>
            <w:tcW w:w="1100" w:type="dxa"/>
          </w:tcPr>
          <w:p w:rsidR="00880768" w:rsidRDefault="00880768" w:rsidP="00880768">
            <w:r>
              <w:t xml:space="preserve"> 5 241 </w:t>
            </w:r>
          </w:p>
        </w:tc>
        <w:tc>
          <w:tcPr>
            <w:tcW w:w="1100" w:type="dxa"/>
          </w:tcPr>
          <w:p w:rsidR="00880768" w:rsidRDefault="00880768" w:rsidP="00880768">
            <w:r>
              <w:t xml:space="preserve"> -178 </w:t>
            </w:r>
          </w:p>
        </w:tc>
        <w:tc>
          <w:tcPr>
            <w:tcW w:w="1100" w:type="dxa"/>
          </w:tcPr>
          <w:p w:rsidR="00880768" w:rsidRDefault="00880768" w:rsidP="00880768">
            <w:r>
              <w:t xml:space="preserve"> -451 </w:t>
            </w:r>
          </w:p>
        </w:tc>
        <w:tc>
          <w:tcPr>
            <w:tcW w:w="1340" w:type="dxa"/>
          </w:tcPr>
          <w:p w:rsidR="00880768" w:rsidRDefault="00880768" w:rsidP="00880768">
            <w:r>
              <w:t>-8</w:t>
            </w:r>
          </w:p>
        </w:tc>
      </w:tr>
      <w:tr w:rsidR="00880768" w:rsidTr="00880768">
        <w:trPr>
          <w:trHeight w:val="380"/>
        </w:trPr>
        <w:tc>
          <w:tcPr>
            <w:tcW w:w="2720" w:type="dxa"/>
          </w:tcPr>
          <w:p w:rsidR="00880768" w:rsidRDefault="00880768" w:rsidP="00880768">
            <w:r>
              <w:t>Dvalin</w:t>
            </w:r>
          </w:p>
        </w:tc>
        <w:tc>
          <w:tcPr>
            <w:tcW w:w="1100" w:type="dxa"/>
          </w:tcPr>
          <w:p w:rsidR="00880768" w:rsidRDefault="00880768" w:rsidP="00880768">
            <w:r>
              <w:t xml:space="preserve"> 2017 </w:t>
            </w:r>
          </w:p>
        </w:tc>
        <w:tc>
          <w:tcPr>
            <w:tcW w:w="1100" w:type="dxa"/>
          </w:tcPr>
          <w:p w:rsidR="00880768" w:rsidRDefault="00880768" w:rsidP="00880768">
            <w:r>
              <w:t xml:space="preserve"> 10 706 </w:t>
            </w:r>
          </w:p>
        </w:tc>
        <w:tc>
          <w:tcPr>
            <w:tcW w:w="1100" w:type="dxa"/>
          </w:tcPr>
          <w:p w:rsidR="00880768" w:rsidRDefault="00880768" w:rsidP="00880768">
            <w:r>
              <w:t xml:space="preserve"> 10 592 </w:t>
            </w:r>
          </w:p>
        </w:tc>
        <w:tc>
          <w:tcPr>
            <w:tcW w:w="1100" w:type="dxa"/>
          </w:tcPr>
          <w:p w:rsidR="00880768" w:rsidRDefault="00880768" w:rsidP="00880768">
            <w:r>
              <w:t xml:space="preserve"> -114 </w:t>
            </w:r>
          </w:p>
        </w:tc>
        <w:tc>
          <w:tcPr>
            <w:tcW w:w="1100" w:type="dxa"/>
          </w:tcPr>
          <w:p w:rsidR="00880768" w:rsidRDefault="00880768" w:rsidP="00880768">
            <w:r>
              <w:t xml:space="preserve"> -114 </w:t>
            </w:r>
          </w:p>
        </w:tc>
        <w:tc>
          <w:tcPr>
            <w:tcW w:w="1340" w:type="dxa"/>
          </w:tcPr>
          <w:p w:rsidR="00880768" w:rsidRDefault="00880768" w:rsidP="00880768">
            <w:r>
              <w:t>-1</w:t>
            </w:r>
          </w:p>
        </w:tc>
      </w:tr>
      <w:tr w:rsidR="00880768" w:rsidTr="00880768">
        <w:trPr>
          <w:trHeight w:val="380"/>
        </w:trPr>
        <w:tc>
          <w:tcPr>
            <w:tcW w:w="2720" w:type="dxa"/>
          </w:tcPr>
          <w:p w:rsidR="00880768" w:rsidRDefault="00880768" w:rsidP="00880768">
            <w:r>
              <w:t>Utgard</w:t>
            </w:r>
          </w:p>
        </w:tc>
        <w:tc>
          <w:tcPr>
            <w:tcW w:w="1100" w:type="dxa"/>
          </w:tcPr>
          <w:p w:rsidR="00880768" w:rsidRDefault="00880768" w:rsidP="00880768">
            <w:r>
              <w:t xml:space="preserve"> 2017 </w:t>
            </w:r>
          </w:p>
        </w:tc>
        <w:tc>
          <w:tcPr>
            <w:tcW w:w="1100" w:type="dxa"/>
          </w:tcPr>
          <w:p w:rsidR="00880768" w:rsidRDefault="00880768" w:rsidP="00880768">
            <w:r>
              <w:t xml:space="preserve"> 3 318 </w:t>
            </w:r>
          </w:p>
        </w:tc>
        <w:tc>
          <w:tcPr>
            <w:tcW w:w="1100" w:type="dxa"/>
          </w:tcPr>
          <w:p w:rsidR="00880768" w:rsidRDefault="00880768" w:rsidP="00880768">
            <w:r>
              <w:t xml:space="preserve"> 2 992 </w:t>
            </w:r>
          </w:p>
        </w:tc>
        <w:tc>
          <w:tcPr>
            <w:tcW w:w="1100" w:type="dxa"/>
          </w:tcPr>
          <w:p w:rsidR="00880768" w:rsidRDefault="00880768" w:rsidP="00880768">
            <w:r>
              <w:t xml:space="preserve"> -194 </w:t>
            </w:r>
          </w:p>
        </w:tc>
        <w:tc>
          <w:tcPr>
            <w:tcW w:w="1100" w:type="dxa"/>
          </w:tcPr>
          <w:p w:rsidR="00880768" w:rsidRDefault="00880768" w:rsidP="00880768">
            <w:r>
              <w:t xml:space="preserve"> -326 </w:t>
            </w:r>
          </w:p>
        </w:tc>
        <w:tc>
          <w:tcPr>
            <w:tcW w:w="1340" w:type="dxa"/>
          </w:tcPr>
          <w:p w:rsidR="00880768" w:rsidRDefault="00880768" w:rsidP="00880768">
            <w:r>
              <w:t>-10</w:t>
            </w:r>
          </w:p>
        </w:tc>
      </w:tr>
      <w:tr w:rsidR="00880768" w:rsidTr="00880768">
        <w:trPr>
          <w:trHeight w:val="380"/>
        </w:trPr>
        <w:tc>
          <w:tcPr>
            <w:tcW w:w="2720" w:type="dxa"/>
          </w:tcPr>
          <w:p w:rsidR="00880768" w:rsidRDefault="00880768" w:rsidP="00880768">
            <w:r>
              <w:t>Ekofisk 2/4 VC</w:t>
            </w:r>
          </w:p>
        </w:tc>
        <w:tc>
          <w:tcPr>
            <w:tcW w:w="1100" w:type="dxa"/>
          </w:tcPr>
          <w:p w:rsidR="00880768" w:rsidRDefault="00880768" w:rsidP="00880768">
            <w:r>
              <w:t xml:space="preserve"> 2017 </w:t>
            </w:r>
          </w:p>
        </w:tc>
        <w:tc>
          <w:tcPr>
            <w:tcW w:w="1100" w:type="dxa"/>
          </w:tcPr>
          <w:p w:rsidR="00880768" w:rsidRDefault="00880768" w:rsidP="00880768">
            <w:r>
              <w:t xml:space="preserve"> 2 360 </w:t>
            </w:r>
          </w:p>
        </w:tc>
        <w:tc>
          <w:tcPr>
            <w:tcW w:w="1100" w:type="dxa"/>
          </w:tcPr>
          <w:p w:rsidR="00880768" w:rsidRDefault="00880768" w:rsidP="00880768">
            <w:r>
              <w:t xml:space="preserve"> 2 260 </w:t>
            </w:r>
          </w:p>
        </w:tc>
        <w:tc>
          <w:tcPr>
            <w:tcW w:w="1100" w:type="dxa"/>
          </w:tcPr>
          <w:p w:rsidR="00880768" w:rsidRDefault="00880768" w:rsidP="00880768">
            <w:r>
              <w:t xml:space="preserve"> – </w:t>
            </w:r>
          </w:p>
        </w:tc>
        <w:tc>
          <w:tcPr>
            <w:tcW w:w="1100" w:type="dxa"/>
          </w:tcPr>
          <w:p w:rsidR="00880768" w:rsidRDefault="00880768" w:rsidP="00880768">
            <w:r>
              <w:t xml:space="preserve"> -100 </w:t>
            </w:r>
          </w:p>
        </w:tc>
        <w:tc>
          <w:tcPr>
            <w:tcW w:w="1340" w:type="dxa"/>
          </w:tcPr>
          <w:p w:rsidR="00880768" w:rsidRDefault="00880768" w:rsidP="00880768">
            <w:r>
              <w:t>-4</w:t>
            </w:r>
          </w:p>
        </w:tc>
      </w:tr>
      <w:tr w:rsidR="00880768" w:rsidTr="00880768">
        <w:trPr>
          <w:trHeight w:val="380"/>
        </w:trPr>
        <w:tc>
          <w:tcPr>
            <w:tcW w:w="2720" w:type="dxa"/>
          </w:tcPr>
          <w:p w:rsidR="00880768" w:rsidRDefault="00880768" w:rsidP="00880768">
            <w:r>
              <w:t>Oseberg Vestflanken 2</w:t>
            </w:r>
          </w:p>
        </w:tc>
        <w:tc>
          <w:tcPr>
            <w:tcW w:w="1100" w:type="dxa"/>
          </w:tcPr>
          <w:p w:rsidR="00880768" w:rsidRDefault="00880768" w:rsidP="00880768">
            <w:r>
              <w:t xml:space="preserve"> 2016 </w:t>
            </w:r>
          </w:p>
        </w:tc>
        <w:tc>
          <w:tcPr>
            <w:tcW w:w="1100" w:type="dxa"/>
          </w:tcPr>
          <w:p w:rsidR="00880768" w:rsidRDefault="00880768" w:rsidP="00880768">
            <w:r>
              <w:t xml:space="preserve"> 8 401 </w:t>
            </w:r>
          </w:p>
        </w:tc>
        <w:tc>
          <w:tcPr>
            <w:tcW w:w="1100" w:type="dxa"/>
          </w:tcPr>
          <w:p w:rsidR="00880768" w:rsidRDefault="00880768" w:rsidP="00880768">
            <w:r>
              <w:t xml:space="preserve"> 6 486 </w:t>
            </w:r>
          </w:p>
        </w:tc>
        <w:tc>
          <w:tcPr>
            <w:tcW w:w="1100" w:type="dxa"/>
          </w:tcPr>
          <w:p w:rsidR="00880768" w:rsidRDefault="00880768" w:rsidP="00880768">
            <w:r>
              <w:t xml:space="preserve"> -782 </w:t>
            </w:r>
          </w:p>
        </w:tc>
        <w:tc>
          <w:tcPr>
            <w:tcW w:w="1100" w:type="dxa"/>
          </w:tcPr>
          <w:p w:rsidR="00880768" w:rsidRDefault="00880768" w:rsidP="00880768">
            <w:r>
              <w:t xml:space="preserve"> -1 915 </w:t>
            </w:r>
          </w:p>
        </w:tc>
        <w:tc>
          <w:tcPr>
            <w:tcW w:w="1340" w:type="dxa"/>
          </w:tcPr>
          <w:p w:rsidR="00880768" w:rsidRDefault="00880768" w:rsidP="00880768">
            <w:r>
              <w:t>-23</w:t>
            </w:r>
          </w:p>
        </w:tc>
      </w:tr>
      <w:tr w:rsidR="00880768" w:rsidTr="00880768">
        <w:trPr>
          <w:trHeight w:val="380"/>
        </w:trPr>
        <w:tc>
          <w:tcPr>
            <w:tcW w:w="2720" w:type="dxa"/>
          </w:tcPr>
          <w:p w:rsidR="00880768" w:rsidRDefault="00880768" w:rsidP="00880768">
            <w:r>
              <w:t>Sverdrup byggjetrinn I</w:t>
            </w:r>
          </w:p>
        </w:tc>
        <w:tc>
          <w:tcPr>
            <w:tcW w:w="1100" w:type="dxa"/>
          </w:tcPr>
          <w:p w:rsidR="00880768" w:rsidRDefault="00880768" w:rsidP="00880768">
            <w:r>
              <w:t xml:space="preserve"> 2015 </w:t>
            </w:r>
          </w:p>
        </w:tc>
        <w:tc>
          <w:tcPr>
            <w:tcW w:w="1100" w:type="dxa"/>
          </w:tcPr>
          <w:p w:rsidR="00880768" w:rsidRDefault="00880768" w:rsidP="00880768">
            <w:r>
              <w:t xml:space="preserve"> 126 876 </w:t>
            </w:r>
          </w:p>
        </w:tc>
        <w:tc>
          <w:tcPr>
            <w:tcW w:w="1100" w:type="dxa"/>
          </w:tcPr>
          <w:p w:rsidR="00880768" w:rsidRDefault="00880768" w:rsidP="00880768">
            <w:r>
              <w:t xml:space="preserve"> 97 998 </w:t>
            </w:r>
          </w:p>
        </w:tc>
        <w:tc>
          <w:tcPr>
            <w:tcW w:w="1100" w:type="dxa"/>
          </w:tcPr>
          <w:p w:rsidR="00880768" w:rsidRDefault="00880768" w:rsidP="00880768">
            <w:r>
              <w:t xml:space="preserve"> -6 424 </w:t>
            </w:r>
          </w:p>
        </w:tc>
        <w:tc>
          <w:tcPr>
            <w:tcW w:w="1100" w:type="dxa"/>
          </w:tcPr>
          <w:p w:rsidR="00880768" w:rsidRDefault="00880768" w:rsidP="00880768">
            <w:r>
              <w:t xml:space="preserve"> -28 878 </w:t>
            </w:r>
          </w:p>
        </w:tc>
        <w:tc>
          <w:tcPr>
            <w:tcW w:w="1340" w:type="dxa"/>
          </w:tcPr>
          <w:p w:rsidR="00880768" w:rsidRDefault="00880768" w:rsidP="00880768">
            <w:r>
              <w:t>-23</w:t>
            </w:r>
          </w:p>
        </w:tc>
      </w:tr>
      <w:tr w:rsidR="00880768" w:rsidTr="00880768">
        <w:trPr>
          <w:trHeight w:val="380"/>
        </w:trPr>
        <w:tc>
          <w:tcPr>
            <w:tcW w:w="2720" w:type="dxa"/>
          </w:tcPr>
          <w:p w:rsidR="00880768" w:rsidRDefault="00880768" w:rsidP="00880768">
            <w:r>
              <w:t>Aasta Hansteen</w:t>
            </w:r>
          </w:p>
        </w:tc>
        <w:tc>
          <w:tcPr>
            <w:tcW w:w="1100" w:type="dxa"/>
          </w:tcPr>
          <w:p w:rsidR="00880768" w:rsidRDefault="00880768" w:rsidP="00880768">
            <w:r>
              <w:t xml:space="preserve"> 2013 </w:t>
            </w:r>
          </w:p>
        </w:tc>
        <w:tc>
          <w:tcPr>
            <w:tcW w:w="1100" w:type="dxa"/>
          </w:tcPr>
          <w:p w:rsidR="00880768" w:rsidRDefault="00880768" w:rsidP="00880768">
            <w:r>
              <w:t xml:space="preserve"> 34 598 </w:t>
            </w:r>
          </w:p>
        </w:tc>
        <w:tc>
          <w:tcPr>
            <w:tcW w:w="1100" w:type="dxa"/>
          </w:tcPr>
          <w:p w:rsidR="00880768" w:rsidRDefault="00880768" w:rsidP="00880768">
            <w:r>
              <w:t xml:space="preserve"> 37 456 </w:t>
            </w:r>
          </w:p>
        </w:tc>
        <w:tc>
          <w:tcPr>
            <w:tcW w:w="1100" w:type="dxa"/>
          </w:tcPr>
          <w:p w:rsidR="00880768" w:rsidRDefault="00880768" w:rsidP="00880768">
            <w:r>
              <w:t xml:space="preserve"> -1 259 </w:t>
            </w:r>
          </w:p>
        </w:tc>
        <w:tc>
          <w:tcPr>
            <w:tcW w:w="1100" w:type="dxa"/>
          </w:tcPr>
          <w:p w:rsidR="00880768" w:rsidRDefault="00880768" w:rsidP="00880768">
            <w:r>
              <w:t xml:space="preserve"> 2 858 </w:t>
            </w:r>
          </w:p>
        </w:tc>
        <w:tc>
          <w:tcPr>
            <w:tcW w:w="1340" w:type="dxa"/>
          </w:tcPr>
          <w:p w:rsidR="00880768" w:rsidRDefault="00880768" w:rsidP="00880768">
            <w:r>
              <w:t>8</w:t>
            </w:r>
          </w:p>
        </w:tc>
      </w:tr>
      <w:tr w:rsidR="00880768" w:rsidTr="00880768">
        <w:trPr>
          <w:trHeight w:val="380"/>
        </w:trPr>
        <w:tc>
          <w:tcPr>
            <w:tcW w:w="2720" w:type="dxa"/>
          </w:tcPr>
          <w:p w:rsidR="00880768" w:rsidRDefault="00880768" w:rsidP="00880768">
            <w:r>
              <w:t>Martin Linge</w:t>
            </w:r>
          </w:p>
        </w:tc>
        <w:tc>
          <w:tcPr>
            <w:tcW w:w="1100" w:type="dxa"/>
          </w:tcPr>
          <w:p w:rsidR="00880768" w:rsidRDefault="00880768" w:rsidP="00880768">
            <w:r>
              <w:t xml:space="preserve"> 2012 </w:t>
            </w:r>
          </w:p>
        </w:tc>
        <w:tc>
          <w:tcPr>
            <w:tcW w:w="1100" w:type="dxa"/>
          </w:tcPr>
          <w:p w:rsidR="00880768" w:rsidRDefault="00880768" w:rsidP="00880768">
            <w:r>
              <w:t xml:space="preserve"> 29 710 </w:t>
            </w:r>
          </w:p>
        </w:tc>
        <w:tc>
          <w:tcPr>
            <w:tcW w:w="1100" w:type="dxa"/>
          </w:tcPr>
          <w:p w:rsidR="00880768" w:rsidRDefault="00880768" w:rsidP="00880768">
            <w:r>
              <w:t xml:space="preserve"> 47 140 </w:t>
            </w:r>
          </w:p>
        </w:tc>
        <w:tc>
          <w:tcPr>
            <w:tcW w:w="1100" w:type="dxa"/>
          </w:tcPr>
          <w:p w:rsidR="00880768" w:rsidRDefault="00880768" w:rsidP="00880768">
            <w:r>
              <w:t xml:space="preserve"> 5 065 </w:t>
            </w:r>
          </w:p>
        </w:tc>
        <w:tc>
          <w:tcPr>
            <w:tcW w:w="1100" w:type="dxa"/>
          </w:tcPr>
          <w:p w:rsidR="00880768" w:rsidRDefault="00880768" w:rsidP="00880768">
            <w:r>
              <w:t xml:space="preserve"> 17 430 </w:t>
            </w:r>
          </w:p>
        </w:tc>
        <w:tc>
          <w:tcPr>
            <w:tcW w:w="1340" w:type="dxa"/>
          </w:tcPr>
          <w:p w:rsidR="00880768" w:rsidRDefault="00880768" w:rsidP="00880768">
            <w:r>
              <w:t>59</w:t>
            </w:r>
          </w:p>
        </w:tc>
      </w:tr>
      <w:tr w:rsidR="00880768" w:rsidTr="00880768">
        <w:trPr>
          <w:trHeight w:val="380"/>
        </w:trPr>
        <w:tc>
          <w:tcPr>
            <w:tcW w:w="2720" w:type="dxa"/>
          </w:tcPr>
          <w:p w:rsidR="00880768" w:rsidRDefault="00880768" w:rsidP="00880768">
            <w:r>
              <w:t>Sum</w:t>
            </w:r>
          </w:p>
        </w:tc>
        <w:tc>
          <w:tcPr>
            <w:tcW w:w="1100" w:type="dxa"/>
          </w:tcPr>
          <w:p w:rsidR="00880768" w:rsidRDefault="00880768" w:rsidP="00880768">
            <w:r>
              <w:t xml:space="preserve"> </w:t>
            </w:r>
          </w:p>
        </w:tc>
        <w:tc>
          <w:tcPr>
            <w:tcW w:w="1100" w:type="dxa"/>
          </w:tcPr>
          <w:p w:rsidR="00880768" w:rsidRDefault="00880768" w:rsidP="00880768">
            <w:r>
              <w:t xml:space="preserve"> 349 426 </w:t>
            </w:r>
          </w:p>
        </w:tc>
        <w:tc>
          <w:tcPr>
            <w:tcW w:w="1100" w:type="dxa"/>
          </w:tcPr>
          <w:p w:rsidR="00880768" w:rsidRDefault="00880768" w:rsidP="00880768">
            <w:r>
              <w:t xml:space="preserve"> 337 476 </w:t>
            </w:r>
          </w:p>
        </w:tc>
        <w:tc>
          <w:tcPr>
            <w:tcW w:w="1100" w:type="dxa"/>
          </w:tcPr>
          <w:p w:rsidR="00880768" w:rsidRDefault="00880768" w:rsidP="00880768">
            <w:r>
              <w:t xml:space="preserve"> -3 818 </w:t>
            </w:r>
          </w:p>
        </w:tc>
        <w:tc>
          <w:tcPr>
            <w:tcW w:w="1100" w:type="dxa"/>
          </w:tcPr>
          <w:p w:rsidR="00880768" w:rsidRDefault="00880768" w:rsidP="00880768">
            <w:r>
              <w:t xml:space="preserve"> -11 949 </w:t>
            </w:r>
          </w:p>
        </w:tc>
        <w:tc>
          <w:tcPr>
            <w:tcW w:w="1340" w:type="dxa"/>
          </w:tcPr>
          <w:p w:rsidR="00880768" w:rsidRDefault="00880768" w:rsidP="00880768">
            <w:r>
              <w:t>-3</w:t>
            </w:r>
          </w:p>
        </w:tc>
      </w:tr>
    </w:tbl>
    <w:p w:rsidR="00532ECF" w:rsidRDefault="00532ECF" w:rsidP="0063539A">
      <w:pPr>
        <w:pStyle w:val="tabell-tittel"/>
      </w:pPr>
      <w:r>
        <w:lastRenderedPageBreak/>
        <w:t>Investeringsoverslag, prosjekt som er ferdigstilt etter 1. august 2017</w:t>
      </w:r>
    </w:p>
    <w:p w:rsidR="00880768" w:rsidRDefault="00880768" w:rsidP="00B52901">
      <w:pPr>
        <w:pStyle w:val="Tabellnavn"/>
      </w:pPr>
      <w:r>
        <w:t>07J2xt2</w:t>
      </w:r>
    </w:p>
    <w:tbl>
      <w:tblPr>
        <w:tblStyle w:val="StandardTabell"/>
        <w:tblW w:w="0" w:type="auto"/>
        <w:tblLayout w:type="fixed"/>
        <w:tblLook w:val="04A0" w:firstRow="1" w:lastRow="0" w:firstColumn="1" w:lastColumn="0" w:noHBand="0" w:noVBand="1"/>
      </w:tblPr>
      <w:tblGrid>
        <w:gridCol w:w="2720"/>
        <w:gridCol w:w="1100"/>
        <w:gridCol w:w="1100"/>
        <w:gridCol w:w="1100"/>
        <w:gridCol w:w="1100"/>
        <w:gridCol w:w="1100"/>
        <w:gridCol w:w="1340"/>
      </w:tblGrid>
      <w:tr w:rsidR="00880768" w:rsidTr="00880768">
        <w:trPr>
          <w:trHeight w:val="360"/>
        </w:trPr>
        <w:tc>
          <w:tcPr>
            <w:tcW w:w="2720" w:type="dxa"/>
          </w:tcPr>
          <w:p w:rsidR="00880768" w:rsidRDefault="00880768" w:rsidP="00880768">
            <w:r>
              <w:t xml:space="preserve"> </w:t>
            </w:r>
          </w:p>
        </w:tc>
        <w:tc>
          <w:tcPr>
            <w:tcW w:w="1100" w:type="dxa"/>
          </w:tcPr>
          <w:p w:rsidR="00880768" w:rsidRDefault="00880768" w:rsidP="00880768">
            <w:r>
              <w:t xml:space="preserve"> </w:t>
            </w:r>
          </w:p>
        </w:tc>
        <w:tc>
          <w:tcPr>
            <w:tcW w:w="1100" w:type="dxa"/>
          </w:tcPr>
          <w:p w:rsidR="00880768" w:rsidRDefault="00880768" w:rsidP="00880768">
            <w:r>
              <w:t xml:space="preserve"> </w:t>
            </w:r>
          </w:p>
        </w:tc>
        <w:tc>
          <w:tcPr>
            <w:tcW w:w="1100" w:type="dxa"/>
          </w:tcPr>
          <w:p w:rsidR="00880768" w:rsidRDefault="00880768" w:rsidP="00880768">
            <w:r>
              <w:t xml:space="preserve"> </w:t>
            </w:r>
          </w:p>
        </w:tc>
        <w:tc>
          <w:tcPr>
            <w:tcW w:w="1100" w:type="dxa"/>
          </w:tcPr>
          <w:p w:rsidR="00880768" w:rsidRDefault="00880768" w:rsidP="00880768">
            <w:r>
              <w:t xml:space="preserve"> </w:t>
            </w:r>
          </w:p>
        </w:tc>
        <w:tc>
          <w:tcPr>
            <w:tcW w:w="2440" w:type="dxa"/>
            <w:gridSpan w:val="2"/>
          </w:tcPr>
          <w:p w:rsidR="00880768" w:rsidRDefault="00880768" w:rsidP="00880768">
            <w:r>
              <w:t>(i mill. 2018-kroner)</w:t>
            </w:r>
          </w:p>
        </w:tc>
      </w:tr>
      <w:tr w:rsidR="00880768" w:rsidTr="00880768">
        <w:trPr>
          <w:trHeight w:val="600"/>
        </w:trPr>
        <w:tc>
          <w:tcPr>
            <w:tcW w:w="2720" w:type="dxa"/>
          </w:tcPr>
          <w:p w:rsidR="00880768" w:rsidRDefault="00880768" w:rsidP="00880768">
            <w:r>
              <w:t xml:space="preserve"> </w:t>
            </w:r>
          </w:p>
        </w:tc>
        <w:tc>
          <w:tcPr>
            <w:tcW w:w="1100" w:type="dxa"/>
          </w:tcPr>
          <w:p w:rsidR="00880768" w:rsidRDefault="00880768" w:rsidP="00880768">
            <w:r>
              <w:t>PUD/PAD- go</w:t>
            </w:r>
            <w:r>
              <w:t>d</w:t>
            </w:r>
            <w:r>
              <w:t>kjent</w:t>
            </w:r>
          </w:p>
        </w:tc>
        <w:tc>
          <w:tcPr>
            <w:tcW w:w="1100" w:type="dxa"/>
          </w:tcPr>
          <w:p w:rsidR="00880768" w:rsidRDefault="00880768" w:rsidP="00880768">
            <w:r>
              <w:t>PUD/PAD-estimat</w:t>
            </w:r>
          </w:p>
        </w:tc>
        <w:tc>
          <w:tcPr>
            <w:tcW w:w="1100" w:type="dxa"/>
          </w:tcPr>
          <w:p w:rsidR="00880768" w:rsidRDefault="00880768" w:rsidP="00880768">
            <w:r>
              <w:t xml:space="preserve">Nye </w:t>
            </w:r>
            <w:r>
              <w:rPr>
                <w:sz w:val="22"/>
              </w:rPr>
              <w:br/>
            </w:r>
            <w:r>
              <w:t>overslag</w:t>
            </w:r>
          </w:p>
        </w:tc>
        <w:tc>
          <w:tcPr>
            <w:tcW w:w="1100" w:type="dxa"/>
          </w:tcPr>
          <w:p w:rsidR="00880768" w:rsidRDefault="00880768" w:rsidP="00880768">
            <w:r>
              <w:t xml:space="preserve">Endring </w:t>
            </w:r>
            <w:r>
              <w:rPr>
                <w:sz w:val="22"/>
              </w:rPr>
              <w:br/>
            </w:r>
            <w:r>
              <w:t>frå i fjor</w:t>
            </w:r>
          </w:p>
        </w:tc>
        <w:tc>
          <w:tcPr>
            <w:tcW w:w="1100" w:type="dxa"/>
          </w:tcPr>
          <w:p w:rsidR="00880768" w:rsidRDefault="00880768" w:rsidP="00880768">
            <w:r>
              <w:t>Tota</w:t>
            </w:r>
            <w:r>
              <w:t>l</w:t>
            </w:r>
            <w:r>
              <w:t>endring</w:t>
            </w:r>
          </w:p>
        </w:tc>
        <w:tc>
          <w:tcPr>
            <w:tcW w:w="1340" w:type="dxa"/>
          </w:tcPr>
          <w:p w:rsidR="00880768" w:rsidRDefault="00880768" w:rsidP="00880768">
            <w:r>
              <w:t>Totalen</w:t>
            </w:r>
            <w:r>
              <w:t>d</w:t>
            </w:r>
            <w:r>
              <w:t>ring</w:t>
            </w:r>
            <w:r>
              <w:rPr>
                <w:sz w:val="22"/>
              </w:rPr>
              <w:br/>
            </w:r>
            <w:r>
              <w:t>i prosent</w:t>
            </w:r>
          </w:p>
        </w:tc>
      </w:tr>
      <w:tr w:rsidR="00880768" w:rsidTr="00880768">
        <w:trPr>
          <w:trHeight w:val="380"/>
        </w:trPr>
        <w:tc>
          <w:tcPr>
            <w:tcW w:w="2720" w:type="dxa"/>
          </w:tcPr>
          <w:p w:rsidR="00880768" w:rsidRDefault="00880768" w:rsidP="00880768">
            <w:r>
              <w:t>Maria</w:t>
            </w:r>
          </w:p>
        </w:tc>
        <w:tc>
          <w:tcPr>
            <w:tcW w:w="1100" w:type="dxa"/>
          </w:tcPr>
          <w:p w:rsidR="00880768" w:rsidRDefault="00880768" w:rsidP="00880768">
            <w:r>
              <w:t xml:space="preserve"> 2015 </w:t>
            </w:r>
          </w:p>
        </w:tc>
        <w:tc>
          <w:tcPr>
            <w:tcW w:w="1100" w:type="dxa"/>
          </w:tcPr>
          <w:p w:rsidR="00880768" w:rsidRDefault="00880768" w:rsidP="00880768">
            <w:r>
              <w:t xml:space="preserve"> 16 540 </w:t>
            </w:r>
          </w:p>
        </w:tc>
        <w:tc>
          <w:tcPr>
            <w:tcW w:w="1100" w:type="dxa"/>
          </w:tcPr>
          <w:p w:rsidR="00880768" w:rsidRDefault="00880768" w:rsidP="00880768">
            <w:r>
              <w:t xml:space="preserve"> 12 632 </w:t>
            </w:r>
          </w:p>
        </w:tc>
        <w:tc>
          <w:tcPr>
            <w:tcW w:w="1100" w:type="dxa"/>
          </w:tcPr>
          <w:p w:rsidR="00880768" w:rsidRDefault="00880768" w:rsidP="00880768">
            <w:r>
              <w:t xml:space="preserve"> -711 </w:t>
            </w:r>
          </w:p>
        </w:tc>
        <w:tc>
          <w:tcPr>
            <w:tcW w:w="1100" w:type="dxa"/>
          </w:tcPr>
          <w:p w:rsidR="00880768" w:rsidRDefault="00880768" w:rsidP="00880768">
            <w:r>
              <w:t xml:space="preserve"> -3 908 </w:t>
            </w:r>
          </w:p>
        </w:tc>
        <w:tc>
          <w:tcPr>
            <w:tcW w:w="1340" w:type="dxa"/>
          </w:tcPr>
          <w:p w:rsidR="00880768" w:rsidRDefault="00880768" w:rsidP="00880768">
            <w:r>
              <w:t>-24</w:t>
            </w:r>
          </w:p>
        </w:tc>
      </w:tr>
      <w:tr w:rsidR="00880768" w:rsidTr="00880768">
        <w:trPr>
          <w:trHeight w:val="380"/>
        </w:trPr>
        <w:tc>
          <w:tcPr>
            <w:tcW w:w="2720" w:type="dxa"/>
          </w:tcPr>
          <w:p w:rsidR="00880768" w:rsidRDefault="00880768" w:rsidP="00880768">
            <w:r>
              <w:t>Polarled</w:t>
            </w:r>
            <w:r>
              <w:rPr>
                <w:rStyle w:val="skrift-hevet"/>
                <w:sz w:val="21"/>
                <w:szCs w:val="21"/>
              </w:rPr>
              <w:t>1</w:t>
            </w:r>
          </w:p>
        </w:tc>
        <w:tc>
          <w:tcPr>
            <w:tcW w:w="1100" w:type="dxa"/>
          </w:tcPr>
          <w:p w:rsidR="00880768" w:rsidRDefault="00880768" w:rsidP="00880768">
            <w:r>
              <w:t xml:space="preserve"> 2013 </w:t>
            </w:r>
          </w:p>
        </w:tc>
        <w:tc>
          <w:tcPr>
            <w:tcW w:w="1100" w:type="dxa"/>
          </w:tcPr>
          <w:p w:rsidR="00880768" w:rsidRDefault="00880768" w:rsidP="00880768">
            <w:r>
              <w:t xml:space="preserve"> 27 701 </w:t>
            </w:r>
          </w:p>
        </w:tc>
        <w:tc>
          <w:tcPr>
            <w:tcW w:w="1100" w:type="dxa"/>
          </w:tcPr>
          <w:p w:rsidR="00880768" w:rsidRDefault="00880768" w:rsidP="00880768">
            <w:r>
              <w:t xml:space="preserve"> 24 463 </w:t>
            </w:r>
          </w:p>
        </w:tc>
        <w:tc>
          <w:tcPr>
            <w:tcW w:w="1100" w:type="dxa"/>
          </w:tcPr>
          <w:p w:rsidR="00880768" w:rsidRDefault="00880768" w:rsidP="00880768">
            <w:r>
              <w:t xml:space="preserve"> 196 </w:t>
            </w:r>
          </w:p>
        </w:tc>
        <w:tc>
          <w:tcPr>
            <w:tcW w:w="1100" w:type="dxa"/>
          </w:tcPr>
          <w:p w:rsidR="00880768" w:rsidRDefault="00880768" w:rsidP="00880768">
            <w:r>
              <w:t xml:space="preserve"> -3 238 </w:t>
            </w:r>
          </w:p>
        </w:tc>
        <w:tc>
          <w:tcPr>
            <w:tcW w:w="1340" w:type="dxa"/>
          </w:tcPr>
          <w:p w:rsidR="00880768" w:rsidRDefault="00880768" w:rsidP="00880768">
            <w:r>
              <w:t>-12</w:t>
            </w:r>
          </w:p>
        </w:tc>
      </w:tr>
      <w:tr w:rsidR="00880768" w:rsidTr="00880768">
        <w:trPr>
          <w:trHeight w:val="380"/>
        </w:trPr>
        <w:tc>
          <w:tcPr>
            <w:tcW w:w="2720" w:type="dxa"/>
          </w:tcPr>
          <w:p w:rsidR="00880768" w:rsidRDefault="00880768" w:rsidP="00880768">
            <w:r>
              <w:t>Sum</w:t>
            </w:r>
          </w:p>
        </w:tc>
        <w:tc>
          <w:tcPr>
            <w:tcW w:w="1100" w:type="dxa"/>
          </w:tcPr>
          <w:p w:rsidR="00880768" w:rsidRDefault="00880768" w:rsidP="00880768">
            <w:r>
              <w:t xml:space="preserve"> </w:t>
            </w:r>
          </w:p>
        </w:tc>
        <w:tc>
          <w:tcPr>
            <w:tcW w:w="1100" w:type="dxa"/>
          </w:tcPr>
          <w:p w:rsidR="00880768" w:rsidRDefault="00880768" w:rsidP="00880768">
            <w:r>
              <w:t xml:space="preserve"> 44 241 </w:t>
            </w:r>
          </w:p>
        </w:tc>
        <w:tc>
          <w:tcPr>
            <w:tcW w:w="1100" w:type="dxa"/>
          </w:tcPr>
          <w:p w:rsidR="00880768" w:rsidRDefault="00880768" w:rsidP="00880768">
            <w:r>
              <w:t xml:space="preserve"> 37 095 </w:t>
            </w:r>
          </w:p>
        </w:tc>
        <w:tc>
          <w:tcPr>
            <w:tcW w:w="1100" w:type="dxa"/>
          </w:tcPr>
          <w:p w:rsidR="00880768" w:rsidRDefault="00880768" w:rsidP="00880768">
            <w:r>
              <w:t xml:space="preserve"> -515 </w:t>
            </w:r>
          </w:p>
        </w:tc>
        <w:tc>
          <w:tcPr>
            <w:tcW w:w="1100" w:type="dxa"/>
          </w:tcPr>
          <w:p w:rsidR="00880768" w:rsidRDefault="00880768" w:rsidP="00880768">
            <w:r>
              <w:t xml:space="preserve"> -7 146 </w:t>
            </w:r>
          </w:p>
        </w:tc>
        <w:tc>
          <w:tcPr>
            <w:tcW w:w="1340" w:type="dxa"/>
          </w:tcPr>
          <w:p w:rsidR="00880768" w:rsidRDefault="00880768" w:rsidP="00880768">
            <w:r>
              <w:t>-16</w:t>
            </w:r>
          </w:p>
        </w:tc>
      </w:tr>
    </w:tbl>
    <w:p w:rsidR="00880768" w:rsidRDefault="00880768" w:rsidP="008E6C94">
      <w:pPr>
        <w:pStyle w:val="tabell-noter"/>
      </w:pPr>
      <w:r>
        <w:rPr>
          <w:rStyle w:val="skrift-hevet"/>
          <w:sz w:val="17"/>
          <w:szCs w:val="17"/>
        </w:rPr>
        <w:t>1</w:t>
      </w:r>
      <w:r>
        <w:rPr>
          <w:sz w:val="17"/>
          <w:szCs w:val="17"/>
        </w:rPr>
        <w:tab/>
        <w:t>Polarled er ferdigstilt og gassfylt. Røyrleidninga blir etter planen teken i bruk ved oppstart av Aasta Hansteen-feltet.</w:t>
      </w:r>
    </w:p>
    <w:p w:rsidR="00880768" w:rsidRDefault="00880768" w:rsidP="00880768">
      <w:r>
        <w:t xml:space="preserve">Som følgje av at dei aller fleste prosjekta fortsatt er innanfor eller under usikkerheitsspennet når det gjelder investeringsnivå, har framdrift i tråd med utbyggingsplanen og var robuste mot vesentlig lågare olje- og gassprisar enn det som er forventa framover, er forventa lønnsamheit til desse god. </w:t>
      </w:r>
    </w:p>
    <w:p w:rsidR="00880768" w:rsidRDefault="00880768" w:rsidP="00880768">
      <w:r>
        <w:t>Enkeltprosjekt som har møtt større utfordringar i gjennomføringsfasen – som Martin Linge-utbygginga, vil oppnå ein lågare avkastning enn forventa ved investeringsbeslutning og når Stortinget behandla utbygginga. Kva for ei avkasting prosjektet vil oppnå vil avhenge av blant anna prisutviklinga for olje og gass, sluttførings- og driftskostnadene på feltet og kva ytterligare re</w:t>
      </w:r>
      <w:r>
        <w:t>s</w:t>
      </w:r>
      <w:r>
        <w:t>sursar som vil kunne bli knytta opp mot feltet i framtida.</w:t>
      </w:r>
    </w:p>
    <w:p w:rsidR="00880768" w:rsidRDefault="00880768" w:rsidP="00880768">
      <w:r>
        <w:t xml:space="preserve">Internrenta til den samla portefølja frå PUD-tidspunkt er berekna til 27 prosent. Framoverskuande noverdi for prosjektportefølja er berekna til 892 mrd. kroner med sju prosent kalkulasjonsrente, og 1 114 mrd. kroner med fire prosent kalkulasjonsrente. </w:t>
      </w:r>
    </w:p>
    <w:p w:rsidR="00880768" w:rsidRDefault="00880768" w:rsidP="00880768">
      <w:pPr>
        <w:pStyle w:val="avsnitt-tittel"/>
      </w:pPr>
      <w:r>
        <w:t>Kostnadsendringar på enkeltprosjekt</w:t>
      </w:r>
    </w:p>
    <w:p w:rsidR="00880768" w:rsidRDefault="00880768" w:rsidP="00880768">
      <w:pPr>
        <w:pStyle w:val="avsnitt-undertittel"/>
      </w:pPr>
      <w:r>
        <w:t>Prosjekt under utbygging</w:t>
      </w:r>
    </w:p>
    <w:p w:rsidR="00880768" w:rsidRDefault="00880768" w:rsidP="00880768">
      <w:r>
        <w:t>For dei nyleg innleverte utbyggingsplanane Oda, Skogul og Valhall Flanke Vest er det ikkje ra</w:t>
      </w:r>
      <w:r>
        <w:t>p</w:t>
      </w:r>
      <w:r>
        <w:t>portert inn endringar i investeringsanslaget samanlikna med overslaga i PUD. For Njord Future, Bauge, Trestakk, Dvalin, Johan Castberg, Fenja, Ekofisk 2/4 VC, Ærfugl, Yme New Development og Snorre Expansion Project er det berre marginale endringar i investeringsanslaget samanlikna med overslaga i PUD.</w:t>
      </w:r>
    </w:p>
    <w:p w:rsidR="00880768" w:rsidRDefault="00880768" w:rsidP="00880768">
      <w:pPr>
        <w:pStyle w:val="avsnitt-under-undertittel"/>
      </w:pPr>
      <w:r>
        <w:t>Sverdrup byggjetrinn 1</w:t>
      </w:r>
    </w:p>
    <w:p w:rsidR="00880768" w:rsidRDefault="00880768" w:rsidP="00880768">
      <w:r>
        <w:t>I Sverdrup-utbygginga er det rapportert om ein reduksjon i investeringsanslaget på 28 878 mill. kroner sidan PUD. Mesteparten av reduksjonane kjem som følgje av at alle dei store prosjekt</w:t>
      </w:r>
      <w:r>
        <w:t>e</w:t>
      </w:r>
      <w:r>
        <w:t xml:space="preserve">rings-, fabrikasjons- og installasjonskontraktane vart tildelte i ein marknadssituasjon med høg konkurranse i 2015 og 2016, og reduksjonar som følgje av effektiv prosjektgjennomføring. </w:t>
      </w:r>
    </w:p>
    <w:p w:rsidR="00880768" w:rsidRDefault="00880768" w:rsidP="00880768">
      <w:r>
        <w:t>Reduksjonen i investeringsanslag sidan PUD er delvis motverka av svekt kronekurs i forhold til vekslingskursar ein gjekk ut frå ved PUD. Sidan same rapportering i fjor er investeringsanslaget redusert med 6 424 mill. kroner, som hovudsakleg skuldast effektiv prosjektgjennomføring. I ti</w:t>
      </w:r>
      <w:r>
        <w:t>l</w:t>
      </w:r>
      <w:r>
        <w:t>legg har effektiv boring av brønnar gitt betydelege innsparingar.</w:t>
      </w:r>
    </w:p>
    <w:p w:rsidR="00880768" w:rsidRDefault="00880768" w:rsidP="00880768">
      <w:pPr>
        <w:pStyle w:val="avsnitt-under-undertittel"/>
      </w:pPr>
      <w:r>
        <w:lastRenderedPageBreak/>
        <w:t>Martin Linge</w:t>
      </w:r>
    </w:p>
    <w:p w:rsidR="00880768" w:rsidRDefault="00880768" w:rsidP="00880768">
      <w:r>
        <w:t>Investeringsanslaget for Martin Linge-prosjektet har auka med 17 430 mill. kroner sidan PUD. Auken sidan PUD skuldast hovudsakleg auka kostnader og forseinkingar relatert til plattformde</w:t>
      </w:r>
      <w:r>
        <w:t>k</w:t>
      </w:r>
      <w:r>
        <w:t xml:space="preserve">ket, og auka timeanslag for samankopling og ferdigstilling av plattforma. Prosjektkostnaden sidan PUD aukar òg som følgje av svekt kronekurs, hovudsakleg mot dollar og euro. </w:t>
      </w:r>
    </w:p>
    <w:p w:rsidR="00880768" w:rsidRDefault="00880768" w:rsidP="00880768">
      <w:r>
        <w:t>Departementet samtykka, etter søknad frå selskapa, til at eigardel og operatørskap for Martin Linge-feltet vart overført frå Total til Equinor i mars 2018. Etter overtakinga har Equinor gje</w:t>
      </w:r>
      <w:r>
        <w:t>n</w:t>
      </w:r>
      <w:r>
        <w:t>nomført ein gjennomgang av kostnader og tidsplan i prosjektet. Som følgje av gjennomgangen er berekna arbeidsomfang for oppkopling og ferdigstilling auka. Dette medfører auka kostnader. Pr</w:t>
      </w:r>
      <w:r>
        <w:t>o</w:t>
      </w:r>
      <w:r>
        <w:t xml:space="preserve">duksjonsoppstart er planlagt i første kvartal 2020. Sidan førre rapportering har investeringsanslaget auka med 5 065 mill. kroner. I tillegg til auka kostnader knytt til auka arbeidsomfang, skuldast om lag 1 350 mill. kroner av auken at ny operatør har endra bokføringa av enkelte kostnadselement frå driftskostnader til investeringskostnader. Dei største elementa som er flytta er leiekostnader for lagerfartøy før produksjonsstart og historiske kostnader forbunden med uverksam borerigg. </w:t>
      </w:r>
    </w:p>
    <w:p w:rsidR="00880768" w:rsidRDefault="00880768" w:rsidP="00880768">
      <w:pPr>
        <w:pStyle w:val="avsnitt-under-undertittel"/>
      </w:pPr>
      <w:r>
        <w:t>Aasta Hansteen</w:t>
      </w:r>
    </w:p>
    <w:p w:rsidR="00880768" w:rsidRDefault="00880768" w:rsidP="00880768">
      <w:r>
        <w:t>I Aasta Hansteen-prosjektet er det rapportert om ein auke i investeringsanslaget på 2 858 mill. kr</w:t>
      </w:r>
      <w:r>
        <w:t>o</w:t>
      </w:r>
      <w:r>
        <w:t xml:space="preserve">ner sidan PUD, men ein reduksjon på 1 259 mill. kroner sidan fjorårets rapportering. Mesteparten av auken sidan PUD skuldast svekka kronekurs i forhold til vekslingskursar ein gjekk ut frå ved PUD. Sidan desember 2015 har operatøren sett ei betydeleg betring i prosjektet og innretninga er no under ferdigstilling ute på feltet. </w:t>
      </w:r>
    </w:p>
    <w:p w:rsidR="00880768" w:rsidRDefault="00880768" w:rsidP="00880768">
      <w:pPr>
        <w:pStyle w:val="avsnitt-under-undertittel"/>
      </w:pPr>
      <w:r>
        <w:t>Utgard</w:t>
      </w:r>
    </w:p>
    <w:p w:rsidR="00880768" w:rsidRDefault="00880768" w:rsidP="00880768">
      <w:r>
        <w:t xml:space="preserve">I Utgard-utbygginga er det rapportert om ein reduksjon i investeringsanslaget på 326 mill. kroner sidan PUD. Sidan same rapportering i fjor er investeringsanslaget redusert med 194 mill. kroner. Mesteparten av reduksjonane skuldast at sentrale kontraktar er tildelte på lågare verdiar enn det som vart lagt til grunn i PUD. </w:t>
      </w:r>
    </w:p>
    <w:p w:rsidR="00880768" w:rsidRDefault="00880768" w:rsidP="00880768">
      <w:pPr>
        <w:pStyle w:val="avsnitt-under-undertittel"/>
      </w:pPr>
      <w:r>
        <w:t>Oseberg Vestflanken 2</w:t>
      </w:r>
    </w:p>
    <w:p w:rsidR="00880768" w:rsidRDefault="00880768" w:rsidP="00880768">
      <w:r>
        <w:t>Oseberg Vestflanken 2 har redusert investeringsanslaget med 1 915 mill. kroner sidan PUD. Sidan same rapportering i fjor er investeringsanslaget redusert med 782 mill. kroner. Reduksjonen sku</w:t>
      </w:r>
      <w:r>
        <w:t>l</w:t>
      </w:r>
      <w:r>
        <w:t>dast hovudsakleg meir effektiv boring enn venta og meir fordelaktige marknadsforhold for unde</w:t>
      </w:r>
      <w:r>
        <w:t>r</w:t>
      </w:r>
      <w:r>
        <w:t>vass- og marine kontraktar. Utbygginga er snart klar for oppstart.</w:t>
      </w:r>
    </w:p>
    <w:p w:rsidR="00880768" w:rsidRDefault="00880768" w:rsidP="00880768">
      <w:pPr>
        <w:pStyle w:val="avsnitt-undertittel"/>
      </w:pPr>
      <w:r>
        <w:t>Prosjekt som er ferdigstilt etter 1. august 2017</w:t>
      </w:r>
    </w:p>
    <w:p w:rsidR="00880768" w:rsidRDefault="00880768" w:rsidP="00880768">
      <w:pPr>
        <w:pStyle w:val="avsnitt-under-undertittel"/>
      </w:pPr>
      <w:r>
        <w:t>Maria</w:t>
      </w:r>
    </w:p>
    <w:p w:rsidR="00880768" w:rsidRDefault="00880768" w:rsidP="00880768">
      <w:r>
        <w:t>Maria-feltet har ein reduksjon i investeringsanslaget på 3 908 mill. kroner sidan PUD. Sidan same rapportering i fjor er investeringsanslaget redusert med 711 mill. kroner. Mesteparten av reduksj</w:t>
      </w:r>
      <w:r>
        <w:t>o</w:t>
      </w:r>
      <w:r>
        <w:t xml:space="preserve">nane skuldast effektive boreoperasjonar og offshore installasjonsarbeid, og tidlegare oppstart enn venta ved PUD. </w:t>
      </w:r>
    </w:p>
    <w:p w:rsidR="00880768" w:rsidRDefault="00880768" w:rsidP="00880768">
      <w:pPr>
        <w:pStyle w:val="avsnitt-under-undertittel"/>
      </w:pPr>
      <w:r>
        <w:t>Polarled</w:t>
      </w:r>
    </w:p>
    <w:p w:rsidR="00880768" w:rsidRDefault="00880768" w:rsidP="00880768">
      <w:r>
        <w:t>Polarledanlegga skal transportere gass frå blant anna Hansteen-feltet og inneber også utvidingar av gassbehandlingsanlegget på Nyhamna. Utvidingane på Nyhamna er gjort i samarbeid med rett</w:t>
      </w:r>
      <w:r>
        <w:t>s</w:t>
      </w:r>
      <w:r>
        <w:t xml:space="preserve">havarane i Ormen lange-feltet. For Polarled er det ein reduksjon i investeringsanslaget på </w:t>
      </w:r>
      <w:r>
        <w:lastRenderedPageBreak/>
        <w:t>3 238 mill. kroner sidan PAD. Det er ingen store endringar i investeringsanslaget sidan same ra</w:t>
      </w:r>
      <w:r>
        <w:t>p</w:t>
      </w:r>
      <w:r>
        <w:t>portering i fjor. Noko av reduksjonen i anslaget sidan PAD skuldast at ein del av prosjektet (Kristin gasseksportprosjekt) har blitt terminert. Vidare er det betydeleg skilnad i kostnadsutvikling mellom modifikasjonane på Nyhamna og sjølve Polarled-røyrleidninga. Kostnadsanslaget for modifikasj</w:t>
      </w:r>
      <w:r>
        <w:t>o</w:t>
      </w:r>
      <w:r>
        <w:t>nane på Nyhamna har auka fordi arbeidet har fått større omfang og vekt. Dette skuldast i hovudsak manglande modning av teknisk underlag ved investeringsavgjerd, som igjen har fått følgjer for prosjektanskaffingar og konstruksjonsarbeid. Kostnadsanslaget for røyrleidninga har likevel falle meir, slik at prosjektet totalt sett har hatt ei betydeleg innsparing. Dette skuldast at prosjektet har oppnådd lågare leverandørprisar og positive synergiar med andre røyrprosjekt.</w:t>
      </w:r>
    </w:p>
    <w:p w:rsidR="00880768" w:rsidRDefault="00880768" w:rsidP="00880768">
      <w:pPr>
        <w:pStyle w:val="Overskrift1"/>
      </w:pPr>
      <w:r>
        <w:t>Utgreiing av omlastingsløysingar for olje på Veidnes i Finnmark</w:t>
      </w:r>
    </w:p>
    <w:p w:rsidR="00880768" w:rsidRDefault="00880768" w:rsidP="00880768">
      <w:r>
        <w:t xml:space="preserve">Utbygginga av Castberg-feltet omfattar funna Skrugard, Havis og Drivis. Dei to første </w:t>
      </w:r>
      <w:proofErr w:type="gramStart"/>
      <w:r>
        <w:t>funna</w:t>
      </w:r>
      <w:proofErr w:type="gramEnd"/>
      <w:r>
        <w:t xml:space="preserve"> vart gjort i 2011 og 2012. Fram til 2014 vart fleire andre leitebrønnar boret. Det vart påvist hydrokarbon i alle leitebrønnane, men berre eitt av desse funna (Drivis) har til no kommersielt utvinnbare h</w:t>
      </w:r>
      <w:r>
        <w:t>y</w:t>
      </w:r>
      <w:r>
        <w:t xml:space="preserve">drokarbon og er omfatta av den godkjende utbyggingsplanen for feltet. </w:t>
      </w:r>
    </w:p>
    <w:p w:rsidR="00880768" w:rsidRDefault="00880768" w:rsidP="00880768">
      <w:r>
        <w:t>Ein oljeterminal i Finnmark vart lansert av rettshavarane i Castberg-feltet i februar 2013, altså før leitekampanjen i området i 2014. Behovet for ein terminal var knytt til at Castberg-feltet på den tida var planlagt utbygd med ei halvt nedsenkbar plattform utan oljelager. Det var den einaste re</w:t>
      </w:r>
      <w:r>
        <w:t>a</w:t>
      </w:r>
      <w:r>
        <w:t xml:space="preserve">listiske utbyggingsløysing med det ressursgrunnlaget selskapa då såg for seg i feltet. Derfor planla rettshavarane med ei rørleidning inn til land og ein omlastingsterminal i Finnmark. </w:t>
      </w:r>
    </w:p>
    <w:p w:rsidR="00880768" w:rsidRDefault="00880768" w:rsidP="00880768">
      <w:r>
        <w:t>Leitekampanjen ved Castberg-feltet i 2014 gav skuffande resultat. På grunn av lågare og meir ei</w:t>
      </w:r>
      <w:r>
        <w:t>n</w:t>
      </w:r>
      <w:r>
        <w:t>sarta ressursgrunnlag, og oljeprisfallet, måtte utbyggingskonseptet for Castberg-feltet vurderast på nytt. Denne vurderinga viste at den beste utbyggingsløysinga, med den oppdaterte informasjonen, var eit produksjonsskip med integrert oljelagerkapasitet i skipet. Det var dermed ikkje lenger nø</w:t>
      </w:r>
      <w:r>
        <w:t>d</w:t>
      </w:r>
      <w:r>
        <w:t xml:space="preserve">vendig med røyrledning frå feltet inn til ein terminal på land for å hente ut ressursane i feltet. Med den </w:t>
      </w:r>
      <w:proofErr w:type="gramStart"/>
      <w:r>
        <w:t>valte</w:t>
      </w:r>
      <w:proofErr w:type="gramEnd"/>
      <w:r>
        <w:t xml:space="preserve"> løysinga kan oljen, slik det blir gjort på mange felt på norsk sokkel, lastast på skip på feltet og transporterast derfra direkte til marknaden. </w:t>
      </w:r>
    </w:p>
    <w:p w:rsidR="00880768" w:rsidRDefault="00880768" w:rsidP="00880768">
      <w:r>
        <w:t xml:space="preserve">Etter at alternativet med plattform og røyrleidning til land vart lagt bort som utbyggingsløysing for Castberg-feltet, har drivaren for ei mogleg omlastingsløysing for olje i Finnmark vore om ein gjennom ei slik løysing kan oppnå innsparingar i transporten av olje ut frå Barentshavet. </w:t>
      </w:r>
    </w:p>
    <w:p w:rsidR="00880768" w:rsidRDefault="00880768" w:rsidP="00880768">
      <w:r>
        <w:t>Høvet til innsparingar ligg i at ein, i staden for å transportere olje med spesialbygde shut</w:t>
      </w:r>
      <w:r>
        <w:t>t</w:t>
      </w:r>
      <w:r>
        <w:t>le-tankarar heilt frå felta til marknadene, kan bruke rimelegare konvensjonelle tankskip til å tran</w:t>
      </w:r>
      <w:r>
        <w:t>s</w:t>
      </w:r>
      <w:r>
        <w:t xml:space="preserve">portere oljen mesteparten av vegen. Ei slik innsparing må vurderast opp mot kostnaden og risikoen ved omlasting, under </w:t>
      </w:r>
      <w:proofErr w:type="gramStart"/>
      <w:r>
        <w:t>dette investeringskostnader</w:t>
      </w:r>
      <w:proofErr w:type="gramEnd"/>
      <w:r>
        <w:t>. Dersom det gir ei netto innsparing vil prosjektet leggje til rette for god ressursforvaltning, ved at Castberg og ev. andre oljefelt i Barentshavet kan stå overfor lågare kostnader for transport til marknaden og dermed at meir olje blir lønnsam å u</w:t>
      </w:r>
      <w:r>
        <w:t>t</w:t>
      </w:r>
      <w:r>
        <w:t>vinne. Det vart tidleg klart at ressursgrunnlaget i Castberg-feltet ikkje var stort nok til at ein omla</w:t>
      </w:r>
      <w:r>
        <w:t>s</w:t>
      </w:r>
      <w:r>
        <w:t xml:space="preserve">tingsterminal kunne bli lønnsam. Lønnsemd kravde større transportvolum. </w:t>
      </w:r>
    </w:p>
    <w:p w:rsidR="00880768" w:rsidRDefault="00880768" w:rsidP="00880768">
      <w:r>
        <w:t>I og med at ein lønnsam omlastingsterminal vil krevje oljevolum utover dei i Castberg-feltet vart arbeidet med løysinga organisert i eit eige industriinitiativ: Barents Sea Oil Infrastructure (BSOI). Prosjektet sitt formål var å utvikle ein kostnadseffektiv fleirbruks omlastingsterminal for råolje på Veidnes i Nordkapp kommune, som skal kunne bli ein del av ei eksportrute for olje ut av Barent</w:t>
      </w:r>
      <w:r>
        <w:t>s</w:t>
      </w:r>
      <w:r>
        <w:t xml:space="preserve">havet. Initiativet til fellesprosjektet kom frå Statoil (no Equinor) som operatør for Castberg-feltet. Det vart etablert i februar 2015 og inkluderer alle rettshavarane i utvinningsløyve som omfattar felta Goliat og Castberg, og funna Alta, Gotha og Wisting. Arbeidet i BSOI-prosjektet er leia av </w:t>
      </w:r>
      <w:r>
        <w:lastRenderedPageBreak/>
        <w:t xml:space="preserve">Equinor, mens operatørane for Goliat-feltet (Eni) og funna Alta/Gohta (Lundin) og Wisting (OMV) også deltek aktivt. </w:t>
      </w:r>
    </w:p>
    <w:p w:rsidR="00880768" w:rsidRDefault="00880768" w:rsidP="00880768">
      <w:r>
        <w:t xml:space="preserve">BSOI-prosjektet har sidan 2015 grundig utgreidd to ulike terminalkonsept på Veidnes. I mars 2018 konkluderte selskapa med at dei to ulike </w:t>
      </w:r>
      <w:proofErr w:type="gramStart"/>
      <w:r>
        <w:t>terminalkonsepta</w:t>
      </w:r>
      <w:proofErr w:type="gramEnd"/>
      <w:r>
        <w:t xml:space="preserve"> som er studerte gir avgrensa reduksjonar i transportkostnader for olje ut frå Barentshavet og usikre andre bidrag til verdiskaping i forhold til transport direkte frå felta til marknaden. Vidare vil dei studerte konsepta medføre høge invest</w:t>
      </w:r>
      <w:r>
        <w:t>e</w:t>
      </w:r>
      <w:r>
        <w:t xml:space="preserve">ringskostnader og betydelege driftskostnader. Dette saman med volumet av råolje som kan ventast å bruke ein slik eventuell terminal, gjer at det ikkje er samfunnsmessig eller industrielt lønnsamt å gå vidare med dei to studerte </w:t>
      </w:r>
      <w:proofErr w:type="gramStart"/>
      <w:r>
        <w:t>terminalkonsepta</w:t>
      </w:r>
      <w:proofErr w:type="gramEnd"/>
      <w:r>
        <w:t xml:space="preserve">. </w:t>
      </w:r>
    </w:p>
    <w:p w:rsidR="00880768" w:rsidRDefault="00880768" w:rsidP="00880768">
      <w:r>
        <w:t xml:space="preserve">Samtidig kan andre omlastingsløysingar vere samfunnsøkonomisk lønnsame. Sjølv om selskapa i mars 2018 konkluderte med at det ikkje var grunnlag for å gå vidare med dei to studerte </w:t>
      </w:r>
      <w:proofErr w:type="gramStart"/>
      <w:r>
        <w:t>termina</w:t>
      </w:r>
      <w:r>
        <w:t>l</w:t>
      </w:r>
      <w:r>
        <w:t>konsepta</w:t>
      </w:r>
      <w:proofErr w:type="gramEnd"/>
      <w:r>
        <w:t xml:space="preserve"> på Veidnes, ønskte dei derfor å føre vidare studiar av alternative løysingar. Vidare studiar vil byggje på det arbeidet som allereie er gjort. Selskapa </w:t>
      </w:r>
      <w:proofErr w:type="gramStart"/>
      <w:r>
        <w:t>sette</w:t>
      </w:r>
      <w:proofErr w:type="gramEnd"/>
      <w:r>
        <w:t xml:space="preserve"> i gang eit arbeid med å utarbeide eit konkret arbeidsprogram for den vidare aktiviteten med sikte på å avklare eit vidare konseptarbeid i løpet av 4. kvartal 2018. </w:t>
      </w:r>
    </w:p>
    <w:p w:rsidR="00880768" w:rsidRDefault="00880768" w:rsidP="00880768">
      <w:r>
        <w:t xml:space="preserve">I Prop. 80 S (2017–2018) om </w:t>
      </w:r>
      <w:r>
        <w:rPr>
          <w:rStyle w:val="kursiv"/>
          <w:sz w:val="21"/>
          <w:szCs w:val="21"/>
        </w:rPr>
        <w:t>Utbygging og drift av Johan Castberg-feltet med status for olje- og gassvir</w:t>
      </w:r>
      <w:r>
        <w:rPr>
          <w:rStyle w:val="kursiv"/>
          <w:sz w:val="21"/>
          <w:szCs w:val="21"/>
        </w:rPr>
        <w:t>k</w:t>
      </w:r>
      <w:r>
        <w:rPr>
          <w:rStyle w:val="kursiv"/>
          <w:sz w:val="21"/>
          <w:szCs w:val="21"/>
        </w:rPr>
        <w:t>somheten</w:t>
      </w:r>
      <w:r>
        <w:t>, vart status for BSOI-prosjektet kort omtalt. Castberg-feltets utbyggingsløysing er basert på lasting frå produksjonsskipet til tankarar ute på feltet. Samtidig vart det presisert i proposisjonen at ei vidare utgreiing av fleire alternative omlastingsløysingar «</w:t>
      </w:r>
      <w:proofErr w:type="gramStart"/>
      <w:r>
        <w:rPr>
          <w:rStyle w:val="kursiv"/>
          <w:sz w:val="21"/>
          <w:szCs w:val="21"/>
        </w:rPr>
        <w:t>…vil</w:t>
      </w:r>
      <w:proofErr w:type="gramEnd"/>
      <w:r>
        <w:rPr>
          <w:rStyle w:val="kursiv"/>
          <w:sz w:val="21"/>
          <w:szCs w:val="21"/>
        </w:rPr>
        <w:t xml:space="preserve"> ikke forringe muligheten for å ta olje fra Castberg-feltet til en eventuell fremtidig terminal, selv om det skulle medføre at en eventuell løsning ikke er på plass til produksjonsstart i 2022.</w:t>
      </w:r>
      <w:r>
        <w:t xml:space="preserve">» </w:t>
      </w:r>
    </w:p>
    <w:p w:rsidR="00880768" w:rsidRDefault="00880768" w:rsidP="00880768">
      <w:r>
        <w:t>I Innst. 368 S (2017–2018) går det blant anna fram at: «</w:t>
      </w:r>
      <w:r>
        <w:rPr>
          <w:rStyle w:val="kursiv"/>
          <w:sz w:val="21"/>
          <w:szCs w:val="21"/>
        </w:rPr>
        <w:t>Dette flertallet registrerer at selskapene slår fast at den utredede ilandføringsløsningen ikke er samfunnsmessig eller industrielt lønnsom i forbindelse med denne utbyggingen alene.», videre at «Dette flertallet mener det er avgjørende med et best mulig beslutningsgrunnlag også i denne saken. Dette flertallet mener derfor det er viktig at arbeidet i BSOI videreføres, blant annet ved at det ses på en nedskalert omlastningsterminal i kombinasjon med en eventuell skip-til-skip-løsning i Sarnesfjo</w:t>
      </w:r>
      <w:r>
        <w:rPr>
          <w:rStyle w:val="kursiv"/>
          <w:sz w:val="21"/>
          <w:szCs w:val="21"/>
        </w:rPr>
        <w:t>r</w:t>
      </w:r>
      <w:r>
        <w:rPr>
          <w:rStyle w:val="kursiv"/>
          <w:sz w:val="21"/>
          <w:szCs w:val="21"/>
        </w:rPr>
        <w:t>den. Dette flertallet har i så måte vektlagt at en videre utredning ikke forringer muligheten for å ta olje fra Cas</w:t>
      </w:r>
      <w:r>
        <w:rPr>
          <w:rStyle w:val="kursiv"/>
          <w:sz w:val="21"/>
          <w:szCs w:val="21"/>
        </w:rPr>
        <w:t>t</w:t>
      </w:r>
      <w:r>
        <w:rPr>
          <w:rStyle w:val="kursiv"/>
          <w:sz w:val="21"/>
          <w:szCs w:val="21"/>
        </w:rPr>
        <w:t>berg-feltet til en eventuell fremtidig terminal, selv om det skulle medføre at en eventuell løsning ikke er på plass til produksjonsstart i 2022. Identifiseres det en lønnsom omlastningsløsning i Finnmark gjennom det videre u</w:t>
      </w:r>
      <w:r>
        <w:rPr>
          <w:rStyle w:val="kursiv"/>
          <w:sz w:val="21"/>
          <w:szCs w:val="21"/>
        </w:rPr>
        <w:t>t</w:t>
      </w:r>
      <w:r>
        <w:rPr>
          <w:rStyle w:val="kursiv"/>
          <w:sz w:val="21"/>
          <w:szCs w:val="21"/>
        </w:rPr>
        <w:t>redningsarbeidet, legger dette flertallet til grunn at Castberg-feltet skal benytte denne.</w:t>
      </w:r>
      <w:r>
        <w:t>»</w:t>
      </w:r>
    </w:p>
    <w:p w:rsidR="00880768" w:rsidRDefault="00880768" w:rsidP="00880768">
      <w:r>
        <w:t>Ved behandling av utbyggingsplanen for Castberg-feltet, fatta Stortinget blant anna følgjande to oppmodingsvedtak:</w:t>
      </w:r>
    </w:p>
    <w:p w:rsidR="00880768" w:rsidRDefault="00880768" w:rsidP="00880768">
      <w:pPr>
        <w:pStyle w:val="Liste"/>
      </w:pPr>
      <w:r>
        <w:t>Stortinget ber regjeringen sørge for at senest ved etablering av flere produserende felt i Barentshavet må disse sees i sammenheng med Johan Castberg og bygging av en ilandf</w:t>
      </w:r>
      <w:r>
        <w:t>ø</w:t>
      </w:r>
      <w:r>
        <w:t>ringsterminal på Veidnes i Finnmark</w:t>
      </w:r>
    </w:p>
    <w:p w:rsidR="00880768" w:rsidRDefault="00880768" w:rsidP="00880768">
      <w:pPr>
        <w:pStyle w:val="Liste"/>
      </w:pPr>
      <w:r>
        <w:t>Stortinget ber regjeringen komme tilbake til Stortinget på egnet måte – innen utgangen av 2018 og med sikte på vedtak – om utredningene Barents Sea Oil Infrastructure gjør om en nedskalert terminalløsning og en skip-til-skip-løsning på Veidnes i Finnmark. Beslutningen skal bygge på hensyn til god ressursforvaltning</w:t>
      </w:r>
    </w:p>
    <w:p w:rsidR="00880768" w:rsidRDefault="00880768" w:rsidP="00880768">
      <w:r>
        <w:t xml:space="preserve">Då departementet godkjende plan for utbygging og drift for Castberg-feltet i juni 2018 vart det </w:t>
      </w:r>
      <w:proofErr w:type="gramStart"/>
      <w:r>
        <w:t>stilt</w:t>
      </w:r>
      <w:proofErr w:type="gramEnd"/>
      <w:r>
        <w:t xml:space="preserve"> vilkår knytt til mogleg vidare oppfølging av desse vedtaka.</w:t>
      </w:r>
    </w:p>
    <w:p w:rsidR="00880768" w:rsidRDefault="00880768" w:rsidP="00880768">
      <w:r>
        <w:t xml:space="preserve">Som følgje av vedtaka har selskapa forsert arbeidet med </w:t>
      </w:r>
      <w:proofErr w:type="gramStart"/>
      <w:r>
        <w:t>å</w:t>
      </w:r>
      <w:proofErr w:type="gramEnd"/>
      <w:r>
        <w:t xml:space="preserve"> sjå på alternative høve til oljeomlasting i Finnmark. Det er sett i gang eit arbeid med å studere tre alternativ: </w:t>
      </w:r>
    </w:p>
    <w:p w:rsidR="00880768" w:rsidRDefault="00880768" w:rsidP="00880768">
      <w:pPr>
        <w:pStyle w:val="Nummerertliste"/>
      </w:pPr>
      <w:r>
        <w:t>Skip-til-skipomlasting i Sarnesfjorden/Kåfjorden</w:t>
      </w:r>
    </w:p>
    <w:p w:rsidR="00880768" w:rsidRDefault="00880768" w:rsidP="00880768">
      <w:pPr>
        <w:pStyle w:val="Nummerertliste"/>
      </w:pPr>
      <w:r>
        <w:t>Skip-til-skipomlasting i fjorden knytt til eit oppankra lagerskip i Sarnesfjorden</w:t>
      </w:r>
    </w:p>
    <w:p w:rsidR="00880768" w:rsidRDefault="00880768" w:rsidP="00880768">
      <w:pPr>
        <w:pStyle w:val="Nummerertliste"/>
      </w:pPr>
      <w:r>
        <w:t>Skip-til-skipomlasting ved ein nedskalert terminal på Veidnes. Sistnemnde beståande av eit kaianlegg med støttefunksjonar, men utan til dømes oljelagertankar på land</w:t>
      </w:r>
    </w:p>
    <w:p w:rsidR="00880768" w:rsidRDefault="00880768" w:rsidP="00880768">
      <w:r>
        <w:lastRenderedPageBreak/>
        <w:t>Utgreiingane har nyleg starta og er i eit svært tidleg stadium. Hovudmålet med arbeidet hittil har vore å avklare om det er forhold av teknisk, operasjonell, regulatorisk eller miljømessig art som gjer eitt eller fleire av alternativa umogleg. Det er foreløpig ikkje avdekt slike hinder.</w:t>
      </w:r>
    </w:p>
    <w:p w:rsidR="00880768" w:rsidRDefault="00880768" w:rsidP="00880768">
      <w:r>
        <w:t xml:space="preserve">Selskapa sitt arbeid med dei tre identifiserte </w:t>
      </w:r>
      <w:proofErr w:type="gramStart"/>
      <w:r>
        <w:t>konsepta</w:t>
      </w:r>
      <w:proofErr w:type="gramEnd"/>
      <w:r>
        <w:t xml:space="preserve"> pågår for fullt og i tråd med eit normalt ind</w:t>
      </w:r>
      <w:r>
        <w:t>u</w:t>
      </w:r>
      <w:r>
        <w:t xml:space="preserve">strielt løp for prosjektgjennomføring. Mot slutten av 2018 vil dei første, foreløpige kostnads- og lønnsemdsanslaga liggje føre. Dei tre </w:t>
      </w:r>
      <w:proofErr w:type="gramStart"/>
      <w:r>
        <w:t>alternativa</w:t>
      </w:r>
      <w:proofErr w:type="gramEnd"/>
      <w:r>
        <w:t xml:space="preserve"> har ulik grad av teknisk mogenheit og uvisse knytt til gjennomføring og økonomi. Alternativet med skip-til-skipomlasting i fjorden er det som pr. i dag er prega av minst økonomisk uvisse. Med normale industrielle prosjektløp vil det, i følgje dei involverte selskapa, kunne takast endeleg avgjerd om alternativa med lagerskip eller nedskalert terminal tidlegast i 2020.</w:t>
      </w:r>
    </w:p>
    <w:p w:rsidR="00880768" w:rsidRDefault="00880768" w:rsidP="00880768">
      <w:r>
        <w:t>Komitefleirtalet peikte – som referert til over, at det er avgjerande med eit best mogleg avgjerd</w:t>
      </w:r>
      <w:r>
        <w:t>s</w:t>
      </w:r>
      <w:r>
        <w:t xml:space="preserve">grunnlag også i denne saka. Dette ligg til grunn for det vidare arbeidet med problemstillinga. Eit grundig arbeid i prosjekteringsfasen er svært viktig blant anna for å unngå kostnadsoverskridingar, jf. omtale av Oljedirektoratets rapport «Vurdering av gjennomførte prosjekter på norsk sokkel» i Prop. 114 S (2014–2015) om </w:t>
      </w:r>
      <w:r>
        <w:rPr>
          <w:rStyle w:val="kursiv"/>
          <w:sz w:val="21"/>
          <w:szCs w:val="21"/>
        </w:rPr>
        <w:t>Norges største industriprosjekt – utbygging og drift av Johan Sverdrup-feltet med status for olje- og gassvirksomheten</w:t>
      </w:r>
      <w:r>
        <w:t>. I tillegg til dei økonomiske og ressursforvaltningsmessige forholda som nemnt over, må tryggleiks- og miljømessige, operasjonelle og regulatoriske forhold grundig utgreiast. Eit godt beslutningsgrunnlag er viktig både for å ta best mogleg avgjersler og for å få til eit godt prosjektløp som unngår overskridingar og forseinkingar.</w:t>
      </w:r>
    </w:p>
    <w:p w:rsidR="00880768" w:rsidRDefault="00880768" w:rsidP="00880768">
      <w:r>
        <w:t>Departementet vil komme tilbake til Stortinget med oppdatert informasjon om det pågåande u</w:t>
      </w:r>
      <w:r>
        <w:t>t</w:t>
      </w:r>
      <w:r>
        <w:t xml:space="preserve">greiingsarbeidet, andre relevante problemstillingar, og si oppfølging av oppmodingsvedtaka 890 og 891 på eigna måte innan utgangen av 2018. </w:t>
      </w:r>
    </w:p>
    <w:p w:rsidR="00880768" w:rsidRDefault="00880768" w:rsidP="00880768">
      <w:pPr>
        <w:pStyle w:val="Overskrift1"/>
      </w:pPr>
      <w:r>
        <w:t xml:space="preserve">Omtale av klima- og miljørelevante saker </w:t>
      </w:r>
    </w:p>
    <w:p w:rsidR="00880768" w:rsidRDefault="00880768" w:rsidP="00880768">
      <w:r>
        <w:t xml:space="preserve">Regjeringa </w:t>
      </w:r>
      <w:proofErr w:type="gramStart"/>
      <w:r>
        <w:t>sin</w:t>
      </w:r>
      <w:proofErr w:type="gramEnd"/>
      <w:r>
        <w:t xml:space="preserve"> klima- og miljøpolitikk byggjer på at alle samfunnssektorar har eit sjølvstendig a</w:t>
      </w:r>
      <w:r>
        <w:t>n</w:t>
      </w:r>
      <w:r>
        <w:t xml:space="preserve">svar for å leggje miljøomsyn til grunn for aktivitetane sine og for å medverke til å nå dei nasjonale klima- og miljøpolitiske måla. Sektorstyresmaktene har ansvar for å gjennomføre tiltak innanfor eigne </w:t>
      </w:r>
      <w:proofErr w:type="gramStart"/>
      <w:r>
        <w:t>område</w:t>
      </w:r>
      <w:proofErr w:type="gramEnd"/>
      <w:r>
        <w:t xml:space="preserve">. For </w:t>
      </w:r>
      <w:proofErr w:type="gramStart"/>
      <w:r>
        <w:t>ei</w:t>
      </w:r>
      <w:proofErr w:type="gramEnd"/>
      <w:r>
        <w:t xml:space="preserve"> samla omtale av regjeringa sine klima- og miljørelevante saker, sjå Klima- og miljødepartementet sin fagproposisjon.</w:t>
      </w:r>
    </w:p>
    <w:p w:rsidR="00880768" w:rsidRDefault="00880768" w:rsidP="00880768">
      <w:r>
        <w:t>Noreg har stor vasskraftproduksjon og er blant verdas største eksportørar av olje og gass. Regj</w:t>
      </w:r>
      <w:r>
        <w:t>e</w:t>
      </w:r>
      <w:r>
        <w:t xml:space="preserve">ringa vil foreine Noregs rolle som petroleumsprodusent og eksportør med ambisjonen om </w:t>
      </w:r>
      <w:proofErr w:type="gramStart"/>
      <w:r>
        <w:t>å</w:t>
      </w:r>
      <w:proofErr w:type="gramEnd"/>
      <w:r>
        <w:t xml:space="preserve"> vere leiande i miljø- og klimapolitikken. </w:t>
      </w:r>
    </w:p>
    <w:p w:rsidR="00880768" w:rsidRDefault="00880768" w:rsidP="00880768">
      <w:r>
        <w:t>Omsynet til miljø og berekraftig utvikling er og har alltid vore ein integrert del av den norske p</w:t>
      </w:r>
      <w:r>
        <w:t>e</w:t>
      </w:r>
      <w:r>
        <w:t>troleumsverksemda. Ei rekkje reguleringar medverkar til at det blir teke omsyn til miljøet i alle fasar av petroleumsverksemda. Petroleumssektoren i Noreg har betalt CO</w:t>
      </w:r>
      <w:r>
        <w:rPr>
          <w:rStyle w:val="skrift-senket"/>
          <w:sz w:val="21"/>
          <w:szCs w:val="21"/>
        </w:rPr>
        <w:t>2</w:t>
      </w:r>
      <w:r>
        <w:t>-avgift sidan 1991 og vore ein del av det europeiske kvotesystemet for CO</w:t>
      </w:r>
      <w:r>
        <w:rPr>
          <w:rStyle w:val="skrift-senket"/>
          <w:sz w:val="21"/>
          <w:szCs w:val="21"/>
        </w:rPr>
        <w:t>2</w:t>
      </w:r>
      <w:r>
        <w:t xml:space="preserve"> sidan 2008. Sidan 1996 har kraft frå land vore vurdert i samband med alle nye eller reviderte utbyggingsplanar. Ein ambisiøs politikk nasj</w:t>
      </w:r>
      <w:r>
        <w:t>o</w:t>
      </w:r>
      <w:r>
        <w:t xml:space="preserve">nalt må medverke til å redusere utsleppa globalt. </w:t>
      </w:r>
    </w:p>
    <w:p w:rsidR="00880768" w:rsidRDefault="00880768" w:rsidP="00880768">
      <w:r>
        <w:t>Olje- og gassproduksjon på norsk sokkel er underlagt EUs kvotesystem for klimagassar. Oljese</w:t>
      </w:r>
      <w:r>
        <w:t>l</w:t>
      </w:r>
      <w:r>
        <w:t>skapa på norsk sokkel vil dermed på lik linje med bedrifter i EU medverka til å redusere kvotepli</w:t>
      </w:r>
      <w:r>
        <w:t>k</w:t>
      </w:r>
      <w:r>
        <w:t>tige utslepp med 43 prosent frå nivået i 2005 innan 2030. Det er såleis på plass en sterk virkemi</w:t>
      </w:r>
      <w:r>
        <w:t>d</w:t>
      </w:r>
      <w:r>
        <w:t>delbruk for å redusere utsleppa frå olje- og gassproduksjon i Noreg. Regjeringa vil føre vidare kvoteplikt og CO</w:t>
      </w:r>
      <w:r>
        <w:rPr>
          <w:rStyle w:val="skrift-senket"/>
          <w:sz w:val="21"/>
          <w:szCs w:val="21"/>
        </w:rPr>
        <w:t>2</w:t>
      </w:r>
      <w:r>
        <w:t>-avgift som hovudverkemiddel i klimapolitikken på norsk sokkel</w:t>
      </w:r>
    </w:p>
    <w:p w:rsidR="00880768" w:rsidRDefault="00880768" w:rsidP="00880768">
      <w:r>
        <w:t>Regjeringa vil at Noreg skal vere ein føregangsnasjon innan miljøvennleg energibruk og produ</w:t>
      </w:r>
      <w:r>
        <w:t>k</w:t>
      </w:r>
      <w:r>
        <w:t xml:space="preserve">sjon av fornybar energi. Eit hovudmål er at våre store og verdifulle fornybare energiressursar blir forvalta på ein god, langsiktig og berekraftig måte. For </w:t>
      </w:r>
      <w:proofErr w:type="gramStart"/>
      <w:r>
        <w:t>å</w:t>
      </w:r>
      <w:proofErr w:type="gramEnd"/>
      <w:r>
        <w:t xml:space="preserve"> styrkje utviklinga av miljøvenleg produ</w:t>
      </w:r>
      <w:r>
        <w:t>k</w:t>
      </w:r>
      <w:r>
        <w:t>sjon og bruk av energi er det grunnleggjande å ha langsiktige og stabile rammevilkår. Fleire ve</w:t>
      </w:r>
      <w:r>
        <w:t>r</w:t>
      </w:r>
      <w:r>
        <w:lastRenderedPageBreak/>
        <w:t xml:space="preserve">kemiddel medverkar i utviklinga av energisystema for framtida og lågutsleppssamfunnet, først og fremst miljøavgifter, direkte reguleringar og stønadsordningar. </w:t>
      </w:r>
    </w:p>
    <w:p w:rsidR="00880768" w:rsidRDefault="00880768" w:rsidP="00880768">
      <w:r>
        <w:t>Regjeringa vil fremje effektiv, klima- og miljøvennleg og sikker energiproduksjon, og samtidig sikre ei berekraftig forvaltning av naturen. Det er viktig at utbygginga av fornybar kraft skjer utan at store verdiar knytte til mellom anna naturmangfald eller landskap går tapt.</w:t>
      </w:r>
    </w:p>
    <w:p w:rsidR="00880768" w:rsidRDefault="00880768" w:rsidP="00880768">
      <w:r>
        <w:t>Forsking og utvikling er viktig for å nå måla. Regjeringa si satsing gir ny kunnskap og kompetanse i petroleums- og energisektoren som vert brukt til å utvikle teknologi og løysingar som reduserer naturinngrep og utslepp av klimagassar. Regjeringa satsar breitt på å utvikle kostnadseffektiv te</w:t>
      </w:r>
      <w:r>
        <w:t>k</w:t>
      </w:r>
      <w:r>
        <w:t>nologi for fangst og lagring av CO</w:t>
      </w:r>
      <w:r>
        <w:rPr>
          <w:rStyle w:val="skrift-senket"/>
          <w:sz w:val="21"/>
          <w:szCs w:val="21"/>
        </w:rPr>
        <w:t>2</w:t>
      </w:r>
      <w:r>
        <w:t>. Arbeidet med fullkjedeprosjektet for CO</w:t>
      </w:r>
      <w:r>
        <w:rPr>
          <w:rStyle w:val="skrift-senket"/>
          <w:sz w:val="21"/>
          <w:szCs w:val="21"/>
        </w:rPr>
        <w:t>2</w:t>
      </w:r>
      <w:r>
        <w:t xml:space="preserve">-handtering held fram i 2019, og arbeidet for </w:t>
      </w:r>
      <w:proofErr w:type="gramStart"/>
      <w:r>
        <w:t>å</w:t>
      </w:r>
      <w:proofErr w:type="gramEnd"/>
      <w:r>
        <w:t xml:space="preserve"> fremje CO</w:t>
      </w:r>
      <w:r>
        <w:rPr>
          <w:rStyle w:val="skrift-senket"/>
          <w:sz w:val="21"/>
          <w:szCs w:val="21"/>
        </w:rPr>
        <w:t>2</w:t>
      </w:r>
      <w:r>
        <w:t>-handtering som eit klimatiltak internasjonalt held fram.</w:t>
      </w:r>
    </w:p>
    <w:p w:rsidR="00880768" w:rsidRDefault="00880768" w:rsidP="00880768">
      <w:pPr>
        <w:pStyle w:val="Overskrift2"/>
      </w:pPr>
      <w:r>
        <w:t>Klima- og miljøutfordringar</w:t>
      </w:r>
    </w:p>
    <w:p w:rsidR="00880768" w:rsidRDefault="00880768" w:rsidP="00880768">
      <w:r>
        <w:t>Klima- og miljøutfordringar i olje- og gassutvinning er utslepp til luft og til sjø. Vassdragsutby</w:t>
      </w:r>
      <w:r>
        <w:t>g</w:t>
      </w:r>
      <w:r>
        <w:t xml:space="preserve">gingar og andre energirelaterte utbyggingar kan føre med seg inngrep i natur- og kulturmiljø. </w:t>
      </w:r>
    </w:p>
    <w:p w:rsidR="00880768" w:rsidRDefault="00880768" w:rsidP="00880768">
      <w:pPr>
        <w:pStyle w:val="avsnitt-tittel"/>
      </w:pPr>
      <w:r>
        <w:t>Utslepp til luft</w:t>
      </w:r>
    </w:p>
    <w:p w:rsidR="00880768" w:rsidRDefault="00880768" w:rsidP="00880768">
      <w:r>
        <w:t>Stasjonær forbrenning, inklusive olje- og gassutvinning, står for utslepp til luft av karbondioksid (CO</w:t>
      </w:r>
      <w:r>
        <w:rPr>
          <w:rStyle w:val="skrift-senket"/>
          <w:sz w:val="21"/>
          <w:szCs w:val="21"/>
        </w:rPr>
        <w:t>2</w:t>
      </w:r>
      <w:r>
        <w:t>), nitrogenoksid (NOx), flyktige organiske forbindelsar utan metan (nmVOC), metan (CH</w:t>
      </w:r>
      <w:r>
        <w:rPr>
          <w:rStyle w:val="skrift-senket"/>
          <w:sz w:val="21"/>
          <w:szCs w:val="21"/>
        </w:rPr>
        <w:t>4</w:t>
      </w:r>
      <w:r>
        <w:t>), svoveldioksid (SO</w:t>
      </w:r>
      <w:r>
        <w:rPr>
          <w:rStyle w:val="skrift-senket"/>
          <w:sz w:val="21"/>
          <w:szCs w:val="21"/>
        </w:rPr>
        <w:t>2</w:t>
      </w:r>
      <w:r>
        <w:t>), partiklar (PM) og polysykliske aromatiske hydrokarbon (PAH)</w:t>
      </w:r>
      <w:r>
        <w:rPr>
          <w:vertAlign w:val="superscript"/>
        </w:rPr>
        <w:footnoteReference w:id="5"/>
      </w:r>
      <w:r>
        <w:t>.</w:t>
      </w:r>
    </w:p>
    <w:p w:rsidR="00880768" w:rsidRDefault="00880768" w:rsidP="00880768">
      <w:r>
        <w:t>Noreg skil seg frå andre land ved at størstedelen av det innanlandske stasjonære energiforbruket er dekt av elektrisitet, og tilnærma heile den innanlandske elektrisitetsproduksjonen er basert på vas</w:t>
      </w:r>
      <w:r>
        <w:t>s</w:t>
      </w:r>
      <w:r>
        <w:t>kraft. Elektrisitet frå vasskraft medverkar til låge luftutslepp frå den innanlandske stasjonære ene</w:t>
      </w:r>
      <w:r>
        <w:t>r</w:t>
      </w:r>
      <w:r>
        <w:t>gibruken. Dette inneber òg at Noreg har eit snevrare grunnlag for å redusere utsleppa frå elektris</w:t>
      </w:r>
      <w:r>
        <w:t>i</w:t>
      </w:r>
      <w:r>
        <w:t>tetsproduksjon enn andre land. Utslepp frå innanlandsk energiforsyning (medrekna utslepp frå brenning av avfall der varmen nyttast til energiføremål) og energi brukt til oppvarming av by</w:t>
      </w:r>
      <w:r>
        <w:t>g</w:t>
      </w:r>
      <w:r>
        <w:t>ningar i 2017 var 2,6 mill. tonn CO</w:t>
      </w:r>
      <w:r>
        <w:rPr>
          <w:rStyle w:val="skrift-senket"/>
          <w:sz w:val="21"/>
          <w:szCs w:val="21"/>
        </w:rPr>
        <w:t>2</w:t>
      </w:r>
      <w:r>
        <w:t>-ekvivalentar (førebelse tal). Dette svarar til 5 prosent av dei samla utsleppa i Noreg.</w:t>
      </w:r>
    </w:p>
    <w:p w:rsidR="00880768" w:rsidRDefault="00880768" w:rsidP="00880768">
      <w:r>
        <w:t>Produksjon og bruk av elektrisk kraft kan variere mykje frå år til år som følgje av variasjonar i ti</w:t>
      </w:r>
      <w:r>
        <w:t>l</w:t>
      </w:r>
      <w:r>
        <w:t xml:space="preserve">sig og temperatur. I år med lågt tilsig og relativt høge prisar på elektrisk kraft vil normalt bruken av alternative energiberarar, som fyringsolje, gass og biomasse, auke. Dette er ei viktig årsak til at utsleppa frå stasjonær energibruk på fastlandet varierer frå år til år. </w:t>
      </w:r>
    </w:p>
    <w:p w:rsidR="00880768" w:rsidRDefault="00880768" w:rsidP="00880768">
      <w:r>
        <w:t>På grunn av den særeigne samansetjinga av norsk økonomi og at kraftproduksjonen på fastlandet er nesten berre vasskraft, står verksemda på kontinentalsokkelen for ein vesentleg del av dei norske utsleppa av klimagassar. I 2017 sleppte petroleumsverksemda ut klimagassar tilsvarande 14,7 mill. tonn CO</w:t>
      </w:r>
      <w:r>
        <w:rPr>
          <w:rStyle w:val="skrift-senket"/>
          <w:sz w:val="21"/>
          <w:szCs w:val="21"/>
        </w:rPr>
        <w:t>2</w:t>
      </w:r>
      <w:r>
        <w:t xml:space="preserve">-ekvivalentar. Utsleppa frå petroleumsverksemda utgjer om lag 28 prosent av dei samla norske klimagassutsleppa. Utsleppa frå verksemda er venta </w:t>
      </w:r>
      <w:proofErr w:type="gramStart"/>
      <w:r>
        <w:t>å</w:t>
      </w:r>
      <w:proofErr w:type="gramEnd"/>
      <w:r>
        <w:t xml:space="preserve"> vere relativt stabile dei neste åra.</w:t>
      </w:r>
    </w:p>
    <w:p w:rsidR="00880768" w:rsidRDefault="00880768" w:rsidP="00880768">
      <w:r>
        <w:t>Petroleumsverksemda sleppte i 2017 ut 43 600 tonn NOx (nitrogenoksid). Dette er lågare enn i dei føregåande åra. Utsleppa av NOx frå petroleumsverksemda svara til i underkant av ein tredjedel av dei samla NOx-utsleppa i Noreg. Gassbrenning i turbinar, fakling av gass og dieselbruk på innre</w:t>
      </w:r>
      <w:r>
        <w:t>t</w:t>
      </w:r>
      <w:r>
        <w:t>ningane på kontinentalsokkelen er sentrale utsleppskjelder for NOx.</w:t>
      </w:r>
    </w:p>
    <w:p w:rsidR="00880768" w:rsidRDefault="00880768" w:rsidP="00880768">
      <w:r>
        <w:t>Olje- og gassutvinning står for knapt ein tredjedel av dei samla norske nmVOC-utsleppa (flyktige organiske forbindelsar utan metan), med utslepp i 2017 på 43 100 tonn. Sidan starten av 2000-talet er utsleppa av nmVOC frå petroleumsverksemda sterkt reduserte. Utsleppsreduksjonane er op</w:t>
      </w:r>
      <w:r>
        <w:t>p</w:t>
      </w:r>
      <w:r>
        <w:lastRenderedPageBreak/>
        <w:t>nådde som følgje av installering av anlegg for fjerning og gjenvinning av oljedamp på lagerskip og skytteltankarar.</w:t>
      </w:r>
    </w:p>
    <w:p w:rsidR="00880768" w:rsidRDefault="00880768" w:rsidP="00880768">
      <w:r>
        <w:t xml:space="preserve">Det at norsk petroleumsverksemd er underlagt streng virkemiddelbruk gir resultat. Norske utslepp er vesentlig lågare per produsert eining enn gjennomsnittet for oljeproduserande land, sjå figur 10.1. Utsleppa varierer mellom ulike felt, både i Noreg og internasjonalt. </w:t>
      </w:r>
    </w:p>
    <w:p w:rsidR="00880768" w:rsidRDefault="005A2B4F" w:rsidP="005A2B4F">
      <w:pPr>
        <w:pStyle w:val="Figur"/>
      </w:pPr>
      <w:r>
        <w:t>[:figur:figX-X.jpg]</w:t>
      </w:r>
    </w:p>
    <w:p w:rsidR="00880768" w:rsidRDefault="00880768" w:rsidP="00880768">
      <w:pPr>
        <w:pStyle w:val="figur-tittel"/>
      </w:pPr>
      <w:r>
        <w:t>Utslipp til luft på norsk sokkel samanlikna med internasjonalt gjennomsnitt</w:t>
      </w:r>
    </w:p>
    <w:p w:rsidR="00880768" w:rsidRDefault="00880768" w:rsidP="00880768">
      <w:pPr>
        <w:pStyle w:val="Kilde"/>
        <w:rPr>
          <w:rFonts w:ascii="UniMyriad Regular" w:hAnsi="UniMyriad Regular" w:cs="UniMyriad Regular"/>
          <w:sz w:val="21"/>
          <w:szCs w:val="21"/>
        </w:rPr>
      </w:pPr>
      <w:r>
        <w:t>International Assosiation of Oil and Gas Producers (IOGP), Epim Environmental Hub og Norsk olje og gass</w:t>
      </w:r>
    </w:p>
    <w:p w:rsidR="00880768" w:rsidRDefault="00880768" w:rsidP="00880768">
      <w:pPr>
        <w:pStyle w:val="avsnitt-tittel"/>
      </w:pPr>
      <w:r>
        <w:t>Utslepp til sjø</w:t>
      </w:r>
    </w:p>
    <w:p w:rsidR="00880768" w:rsidRDefault="00880768" w:rsidP="00880768">
      <w:r>
        <w:t xml:space="preserve">Dei siste åra har petroleumsverksemda gjennomført omfattande tiltak for å redusere utsleppa til sjø. Petroleumsindustrien har investert milliardar og har gjennomført tiltak som har redusert utsleppa betydeleg. Utslepp av </w:t>
      </w:r>
      <w:proofErr w:type="gramStart"/>
      <w:r>
        <w:t>tilsette</w:t>
      </w:r>
      <w:proofErr w:type="gramEnd"/>
      <w:r>
        <w:t xml:space="preserve"> miljøfarlege kjemikaliar frå norsk sokkel er reduserte med over 99 prosent dei siste ti åra. Nullutsleppsmålet blir rekna som oppnådd for </w:t>
      </w:r>
      <w:proofErr w:type="gramStart"/>
      <w:r>
        <w:t>tilsette</w:t>
      </w:r>
      <w:proofErr w:type="gramEnd"/>
      <w:r>
        <w:t xml:space="preserve"> kjemikaliar.</w:t>
      </w:r>
    </w:p>
    <w:p w:rsidR="00880768" w:rsidRDefault="00880768" w:rsidP="00880768">
      <w:r>
        <w:t>Utsleppa til sjø frå petroleumsverksemda stammar i hovudsak frå den regulære drifta. Produsert vatn følgjer med oljen opp frå reservoaret og inneheld naturleg førekommande stoff frå reservoaret og restar av tilsette stoff. Det produserte vatnet blir reinsa før utslepp til sjø eller injisert igjen i undergrunnen. Det er ikkje påvist skadelege effektar på miljøet som følgje av utslepp av produsert vatn på norsk sokkel. Det er venta at voluma av produsert vatn vil halde seg på same nivå fram mot 2020.</w:t>
      </w:r>
    </w:p>
    <w:p w:rsidR="00880768" w:rsidRDefault="00880768" w:rsidP="00880768">
      <w:r>
        <w:t>Borekaks som inneheld olje og borevæske stod tidlegare for ein vesentleg del av oljeutsleppa frå aktiviteten. Den blir no injisert i eigna reservoar, eller teken til land for vidare handsaming. Ein sideeffekt av å injisere produsert vatn og oljehaldig borekaks/-væske er auka energibruk og dermed utslepp til luft. Ilandføring av borekaks/-væske aukar transportbehovet og omfanget av avfall</w:t>
      </w:r>
      <w:r>
        <w:t>s</w:t>
      </w:r>
      <w:r>
        <w:t>handteringa på land.</w:t>
      </w:r>
    </w:p>
    <w:p w:rsidR="00880768" w:rsidRDefault="00880768" w:rsidP="00880768">
      <w:pPr>
        <w:pStyle w:val="avsnitt-tittel"/>
      </w:pPr>
      <w:r>
        <w:t>Akutte utslepp til sjø</w:t>
      </w:r>
    </w:p>
    <w:p w:rsidR="00880768" w:rsidRDefault="00880768" w:rsidP="00880768">
      <w:r>
        <w:t>Petroleumsverksemda har, i dei 50 åra med verksemd på norsk sokkel, ikkje ført til store akutte utslepp av olje som har nådd land, og talet på utslepp på over 1 kubikkmeter (m</w:t>
      </w:r>
      <w:r>
        <w:rPr>
          <w:rStyle w:val="skrift-hevet"/>
          <w:sz w:val="21"/>
          <w:szCs w:val="21"/>
        </w:rPr>
        <w:t>3</w:t>
      </w:r>
      <w:r>
        <w:t>) er avgrensa.</w:t>
      </w:r>
    </w:p>
    <w:p w:rsidR="00880768" w:rsidRDefault="00880768" w:rsidP="00880768">
      <w:r>
        <w:t>Det er ikkje påvist skadelege effektar på miljøet som følgje av utslepp til sjø frå petroleumsver</w:t>
      </w:r>
      <w:r>
        <w:t>k</w:t>
      </w:r>
      <w:r>
        <w:t>semda på norsk sokkel.</w:t>
      </w:r>
    </w:p>
    <w:p w:rsidR="00880768" w:rsidRDefault="00880768" w:rsidP="00880768">
      <w:pPr>
        <w:pStyle w:val="avsnitt-tittel"/>
      </w:pPr>
      <w:r>
        <w:t>Inngrep ved utbygging av fornybar energi og nett</w:t>
      </w:r>
    </w:p>
    <w:p w:rsidR="00880768" w:rsidRDefault="00880768" w:rsidP="00880768">
      <w:r>
        <w:t>Vassdragsutbyggingar og andre energirelaterte utbyggingar fører med seg inngrep i natur- og ku</w:t>
      </w:r>
      <w:r>
        <w:t>l</w:t>
      </w:r>
      <w:r>
        <w:t xml:space="preserve">turmiljø. </w:t>
      </w:r>
    </w:p>
    <w:p w:rsidR="00880768" w:rsidRDefault="00880768" w:rsidP="00880768">
      <w:r>
        <w:t>Ved utnytting av fornybare energikjelder, og ved bygging av kraftleidningar, står ein ovanfor vi</w:t>
      </w:r>
      <w:r>
        <w:t>k</w:t>
      </w:r>
      <w:r>
        <w:t>tige avvegingar. Vegar, kraftleidningar og andre installasjonar i tilknyting til vind- og vasskraftverk vil påverke økosystem, naturverdiar og naturopplevingar. Ved utbygging av ny produksjon og nye kraftoverføringar er det viktig å finne dei beste løysingane ut frå ei heilskapleg avveging av miljø- og samfunnsomsyn.</w:t>
      </w:r>
    </w:p>
    <w:p w:rsidR="00880768" w:rsidRDefault="00880768" w:rsidP="00880768">
      <w:pPr>
        <w:pStyle w:val="Overskrift2"/>
      </w:pPr>
      <w:r>
        <w:lastRenderedPageBreak/>
        <w:t>Verkemiddel som har ein klima- og miljøeffekt</w:t>
      </w:r>
    </w:p>
    <w:p w:rsidR="00880768" w:rsidRDefault="00880768" w:rsidP="00880768">
      <w:pPr>
        <w:pStyle w:val="avsnitt-tittel"/>
      </w:pPr>
      <w:r>
        <w:t>CO</w:t>
      </w:r>
      <w:r>
        <w:rPr>
          <w:rStyle w:val="skrift-senket"/>
          <w:sz w:val="21"/>
          <w:szCs w:val="21"/>
        </w:rPr>
        <w:t>2</w:t>
      </w:r>
      <w:r>
        <w:t>-handtering</w:t>
      </w:r>
    </w:p>
    <w:p w:rsidR="00880768" w:rsidRDefault="00880768" w:rsidP="00880768">
      <w:r>
        <w:t>Regjeringa prioriterer arbeidet med å utvikle teknologiar og løysingar som kan medverke til å r</w:t>
      </w:r>
      <w:r>
        <w:t>e</w:t>
      </w:r>
      <w:r>
        <w:t>dusere klimagassutsleppa. Arbeidet med å utvikle kostnadseffektive løysingar for fangst og lagring av CO</w:t>
      </w:r>
      <w:r>
        <w:rPr>
          <w:rStyle w:val="skrift-senket"/>
          <w:sz w:val="21"/>
          <w:szCs w:val="21"/>
        </w:rPr>
        <w:t>2</w:t>
      </w:r>
      <w:r>
        <w:t xml:space="preserve"> er ein viktig del av denne satsinga.</w:t>
      </w:r>
    </w:p>
    <w:p w:rsidR="00880768" w:rsidRDefault="00880768" w:rsidP="00880768">
      <w:r>
        <w:t>I statsbudsjettet for 2015 presenterte regjeringa si strategi for CO</w:t>
      </w:r>
      <w:r>
        <w:rPr>
          <w:rStyle w:val="skrift-senket"/>
          <w:sz w:val="21"/>
          <w:szCs w:val="21"/>
        </w:rPr>
        <w:t>2</w:t>
      </w:r>
      <w:r>
        <w:t>-handtering. Strategien omfattar forsking, utvikling og demonstrasjon, arbeidet med å realisere fullskala demonstrasjonsanlegg for CO</w:t>
      </w:r>
      <w:r>
        <w:rPr>
          <w:rStyle w:val="skrift-senket"/>
          <w:sz w:val="21"/>
          <w:szCs w:val="21"/>
        </w:rPr>
        <w:t>2</w:t>
      </w:r>
      <w:r>
        <w:t xml:space="preserve">-fangst, transport og lagring samt internasjonalt arbeid for </w:t>
      </w:r>
      <w:proofErr w:type="gramStart"/>
      <w:r>
        <w:t>å</w:t>
      </w:r>
      <w:proofErr w:type="gramEnd"/>
      <w:r>
        <w:t xml:space="preserve"> fremje CO</w:t>
      </w:r>
      <w:r>
        <w:rPr>
          <w:rStyle w:val="skrift-senket"/>
          <w:sz w:val="21"/>
          <w:szCs w:val="21"/>
        </w:rPr>
        <w:t>2</w:t>
      </w:r>
      <w:r>
        <w:t>-handtering. Teknol</w:t>
      </w:r>
      <w:r>
        <w:t>o</w:t>
      </w:r>
      <w:r>
        <w:t>gisenteret for CO</w:t>
      </w:r>
      <w:r>
        <w:rPr>
          <w:rStyle w:val="skrift-senket"/>
          <w:sz w:val="21"/>
          <w:szCs w:val="21"/>
        </w:rPr>
        <w:t>2</w:t>
      </w:r>
      <w:r>
        <w:t>-fangst på Mongstad (TCM) står sentralt i denne satsinga. Målet med teknolog</w:t>
      </w:r>
      <w:r>
        <w:t>i</w:t>
      </w:r>
      <w:r>
        <w:t>senteret er å skape ein arena for målretta utvikling, testing og kvalifisering av teknologi for CO</w:t>
      </w:r>
      <w:r>
        <w:rPr>
          <w:rStyle w:val="skrift-senket"/>
          <w:sz w:val="21"/>
          <w:szCs w:val="21"/>
        </w:rPr>
        <w:t>2</w:t>
      </w:r>
      <w:r>
        <w:t xml:space="preserve">-fangst. I tillegg er det eit mål å medverke til </w:t>
      </w:r>
      <w:proofErr w:type="gramStart"/>
      <w:r>
        <w:t>å</w:t>
      </w:r>
      <w:proofErr w:type="gramEnd"/>
      <w:r>
        <w:t xml:space="preserve"> spreie kunnskap og erfaringar internasjonalt slik at kostnader og risiko for fullskala CO</w:t>
      </w:r>
      <w:r>
        <w:rPr>
          <w:rStyle w:val="skrift-senket"/>
          <w:sz w:val="21"/>
          <w:szCs w:val="21"/>
        </w:rPr>
        <w:t>2</w:t>
      </w:r>
      <w:r>
        <w:t>-fangst kan reduserast og å auke aksepten for CO</w:t>
      </w:r>
      <w:r>
        <w:rPr>
          <w:rStyle w:val="skrift-senket"/>
          <w:sz w:val="21"/>
          <w:szCs w:val="21"/>
        </w:rPr>
        <w:t>2</w:t>
      </w:r>
      <w:r>
        <w:t>-handtering som eit viktig klimatiltak. TCM vart opna i 2012 og det har kontinuerleg gått føre seg testaktivitetar ved anlegget sidan. Staten og dei industrielle partnarane Equinor, Shell og Total, har bestemt å føre vidare drifta ved TCM fram til 2020.</w:t>
      </w:r>
    </w:p>
    <w:p w:rsidR="00880768" w:rsidRDefault="00880768" w:rsidP="00880768">
      <w:r>
        <w:t>CLIMIT-programmet for forsking, utvikling og demonstrasjon av teknologi for CO</w:t>
      </w:r>
      <w:r>
        <w:rPr>
          <w:rStyle w:val="skrift-senket"/>
          <w:sz w:val="21"/>
          <w:szCs w:val="21"/>
        </w:rPr>
        <w:t>2</w:t>
      </w:r>
      <w:r>
        <w:t>-handtering og ordninga med forskingssenter for miljøvennleg energi (FME) er òg viktig i staten sitt arbeid med CO</w:t>
      </w:r>
      <w:r>
        <w:rPr>
          <w:rStyle w:val="skrift-senket"/>
          <w:sz w:val="21"/>
          <w:szCs w:val="21"/>
        </w:rPr>
        <w:t>2</w:t>
      </w:r>
      <w:r>
        <w:t>-handtering.</w:t>
      </w:r>
    </w:p>
    <w:p w:rsidR="00880768" w:rsidRDefault="00880768" w:rsidP="00880768">
      <w:r>
        <w:t>Regjeringa har ein ambisjon om å realisere ei kostnadseffektiv løysing for CO</w:t>
      </w:r>
      <w:r>
        <w:rPr>
          <w:rStyle w:val="skrift-senket"/>
          <w:spacing w:val="-1"/>
          <w:sz w:val="21"/>
          <w:szCs w:val="21"/>
        </w:rPr>
        <w:t>2</w:t>
      </w:r>
      <w:r>
        <w:t>-handtering, gitt at dette gir teknologiutvikling i eit internasjonalt perspektiv. For å greie ut korleis ein kan nå amb</w:t>
      </w:r>
      <w:r>
        <w:t>i</w:t>
      </w:r>
      <w:r>
        <w:t>sjonen er det gjennomført idéstudiar, moglegheitsstudiar og konseptstudiar av eit fullskala CO</w:t>
      </w:r>
      <w:r>
        <w:rPr>
          <w:rStyle w:val="skrift-senket"/>
          <w:spacing w:val="-1"/>
          <w:sz w:val="21"/>
          <w:szCs w:val="21"/>
        </w:rPr>
        <w:t>2</w:t>
      </w:r>
      <w:r>
        <w:t>-handteringsprosjekt. Konseptstudiar for fangst og transport vart ferdigstilte hausten 2017. Konseptstudien for lagerdelen av prosjektet vil bli gjort ferdig hausten 2018. I Prop. 85 S (2017–2018) gjorde regjeringa greie for status i arbeidet med fullskala demonstrasjonsanlegg av fangst og lagring av CO</w:t>
      </w:r>
      <w:r>
        <w:rPr>
          <w:rStyle w:val="skrift-senket"/>
          <w:sz w:val="21"/>
          <w:szCs w:val="21"/>
        </w:rPr>
        <w:t>2</w:t>
      </w:r>
      <w:r>
        <w:t xml:space="preserve"> i Noreg. Norcem og Fortum Oslo Varme har fått tilskot til forprosjektering av sine fangstprosjekt. Equinor har fått tilskot til å gjennomføre forprosjektering av transport og lager, i samarbeid med Shell og Total. Når forprosjektering er fullført og ekstern kvalitetssikring er gje</w:t>
      </w:r>
      <w:r>
        <w:t>n</w:t>
      </w:r>
      <w:r>
        <w:t>nomført, vil regjeringa vurdere om eit demonstrasjonsprosjekt bør realiserast. Regjeringas vurd</w:t>
      </w:r>
      <w:r>
        <w:t>e</w:t>
      </w:r>
      <w:r>
        <w:t>ring vil bli lagt fram for Stortinget. Ei avgjerd om investering kan etter den gjeldande framdrift</w:t>
      </w:r>
      <w:r>
        <w:t>s</w:t>
      </w:r>
      <w:r>
        <w:t xml:space="preserve">planen bli fatta i 2020/2021. </w:t>
      </w:r>
    </w:p>
    <w:p w:rsidR="00880768" w:rsidRDefault="00880768" w:rsidP="00880768">
      <w:r>
        <w:t xml:space="preserve">Olje- og energidepartementet har sidan 2008 leia arbeidet med oppfølginga av handlingsplanen for </w:t>
      </w:r>
      <w:proofErr w:type="gramStart"/>
      <w:r>
        <w:t>å</w:t>
      </w:r>
      <w:proofErr w:type="gramEnd"/>
      <w:r>
        <w:t xml:space="preserve"> fremje utvikling og bruk av CO</w:t>
      </w:r>
      <w:r>
        <w:rPr>
          <w:rStyle w:val="skrift-senket"/>
          <w:sz w:val="21"/>
          <w:szCs w:val="21"/>
        </w:rPr>
        <w:t>2</w:t>
      </w:r>
      <w:r>
        <w:t xml:space="preserve">-handtering internasjonalt. Måla for arbeidet er </w:t>
      </w:r>
      <w:proofErr w:type="gramStart"/>
      <w:r>
        <w:t>å</w:t>
      </w:r>
      <w:proofErr w:type="gramEnd"/>
      <w:r>
        <w:t xml:space="preserve"> auka aksept for fangst og lagring av CO</w:t>
      </w:r>
      <w:r>
        <w:rPr>
          <w:rStyle w:val="skrift-senket"/>
          <w:sz w:val="21"/>
          <w:szCs w:val="21"/>
        </w:rPr>
        <w:t>2</w:t>
      </w:r>
      <w:r>
        <w:t xml:space="preserve"> som eit viktig klimatiltak, å få ei brei forståing for reduksjonspotensialet som følgjer av teknologien og å medverke til at teknologien blir teken i bruk utanfor Noreg.</w:t>
      </w:r>
    </w:p>
    <w:p w:rsidR="00880768" w:rsidRDefault="00880768" w:rsidP="00880768">
      <w:r>
        <w:t>Det er oppretta ei rekkje regionale og internasjonale samarbeid der Noreg ved Olje- og energid</w:t>
      </w:r>
      <w:r>
        <w:t>e</w:t>
      </w:r>
      <w:r>
        <w:t xml:space="preserve">partementet deltek. </w:t>
      </w:r>
      <w:r w:rsidRPr="00676F59">
        <w:rPr>
          <w:lang w:val="en-US"/>
        </w:rPr>
        <w:t xml:space="preserve">Mellom anna deltek departementet i North Sea Basin Task Force </w:t>
      </w:r>
      <w:proofErr w:type="gramStart"/>
      <w:r w:rsidRPr="00676F59">
        <w:rPr>
          <w:lang w:val="en-US"/>
        </w:rPr>
        <w:t>og</w:t>
      </w:r>
      <w:proofErr w:type="gramEnd"/>
      <w:r w:rsidRPr="00676F59">
        <w:rPr>
          <w:lang w:val="en-US"/>
        </w:rPr>
        <w:t xml:space="preserve"> Carbon Sequestration Leadership Forum. </w:t>
      </w:r>
      <w:r>
        <w:t>Vidare samarbeider Noreg tett med EU og deltek i ei rekkje av EUs organ og fora retta mot mellom anna utvikling av rammer og regelverk for sikker fangst og lagring av CO</w:t>
      </w:r>
      <w:r>
        <w:rPr>
          <w:rStyle w:val="skrift-senket"/>
          <w:sz w:val="21"/>
          <w:szCs w:val="21"/>
        </w:rPr>
        <w:t>2</w:t>
      </w:r>
      <w:r>
        <w:t>, utvikling og implementering av CO</w:t>
      </w:r>
      <w:r>
        <w:rPr>
          <w:rStyle w:val="skrift-senket"/>
          <w:sz w:val="21"/>
          <w:szCs w:val="21"/>
        </w:rPr>
        <w:t>2</w:t>
      </w:r>
      <w:r>
        <w:t xml:space="preserve">-handteringsteknologiar, i tillegg til generelt </w:t>
      </w:r>
      <w:proofErr w:type="gramStart"/>
      <w:r>
        <w:t>å</w:t>
      </w:r>
      <w:proofErr w:type="gramEnd"/>
      <w:r>
        <w:t xml:space="preserve"> fremje CO</w:t>
      </w:r>
      <w:r>
        <w:rPr>
          <w:rStyle w:val="skrift-senket"/>
          <w:sz w:val="21"/>
          <w:szCs w:val="21"/>
        </w:rPr>
        <w:t>2</w:t>
      </w:r>
      <w:r>
        <w:t>-handtering som eit klimatiltak.</w:t>
      </w:r>
    </w:p>
    <w:p w:rsidR="00880768" w:rsidRDefault="00880768" w:rsidP="00880768">
      <w:pPr>
        <w:pStyle w:val="avsnitt-tittel"/>
      </w:pPr>
      <w:r>
        <w:lastRenderedPageBreak/>
        <w:t>Energi og vassressursar</w:t>
      </w:r>
    </w:p>
    <w:p w:rsidR="00880768" w:rsidRDefault="00880768" w:rsidP="00880768">
      <w:pPr>
        <w:pStyle w:val="avsnitt-undertittel"/>
      </w:pPr>
      <w:r>
        <w:t>Energiomlegging, energi- og klimateknologisatsing</w:t>
      </w:r>
    </w:p>
    <w:p w:rsidR="00880768" w:rsidRDefault="00880768" w:rsidP="00880768">
      <w:r>
        <w:t>Enova og Klima- og energifondet har sidan etableringa i 2001 vore ein viktig del av arbeidet for ei langsiktig og miljøvennleg omlegging av energibruk og energiproduksjon. Enova sitt mandat vart sist forankra i Stortinget ved handsaminga av Energimeldinga i 2016. Formålet er å medverke til reduserte klimagassutslepp og styrkt forsyningstryggleik for energi, og teknologiutvikling som på lengre sikt òg medverkar til reduserte klimagassutslepp. Enova tilbyr mellom anna investering</w:t>
      </w:r>
      <w:r>
        <w:t>s</w:t>
      </w:r>
      <w:r>
        <w:t xml:space="preserve">støtte og rådgjeving og driv informasjonsverksemd for å stimulere aktørar til å investere i energi- og klimatiltak. Dei skal søkje </w:t>
      </w:r>
      <w:proofErr w:type="gramStart"/>
      <w:r>
        <w:t>å</w:t>
      </w:r>
      <w:proofErr w:type="gramEnd"/>
      <w:r>
        <w:t xml:space="preserve"> byggje ned barrierar for omstilling med sikte på å drive fram varige marknadsendringar. Frå 1. mai 2018 er eigaroppfølginga av Enova SF overført frå Olje- og energ</w:t>
      </w:r>
      <w:r>
        <w:t>i</w:t>
      </w:r>
      <w:r>
        <w:t xml:space="preserve">departementet til Klima- og miljødepartementet (KLD). KLD følgjer opp den fireårige avtala som gjeld til utgangen av 2020. </w:t>
      </w:r>
    </w:p>
    <w:p w:rsidR="00880768" w:rsidRDefault="00880768" w:rsidP="00880768">
      <w:r>
        <w:t xml:space="preserve">Det er fleire tiltak som er med på </w:t>
      </w:r>
      <w:proofErr w:type="gramStart"/>
      <w:r>
        <w:t>å</w:t>
      </w:r>
      <w:proofErr w:type="gramEnd"/>
      <w:r>
        <w:t xml:space="preserve"> byggje opp under ei miljøvenleg omlegging av energibruk og energiproduksjon og utvikling av energi- og klimateknologi. Kvotesystemet og CO</w:t>
      </w:r>
      <w:r>
        <w:rPr>
          <w:rStyle w:val="skrift-senket"/>
          <w:sz w:val="21"/>
          <w:szCs w:val="21"/>
        </w:rPr>
        <w:t>2</w:t>
      </w:r>
      <w:r>
        <w:t>-avgiftene er viktige. Fleire andre miljøavgifter og særavgifter knytte til energi medverkar òg til å påverke ene</w:t>
      </w:r>
      <w:r>
        <w:t>r</w:t>
      </w:r>
      <w:r>
        <w:t>gibruken. Det er innført energistandardar og energimerkeordningar for ei rekkje produkt. Det er òg innført strenge forskrifter med krav til energibehovet i nye bygg og ved større rehabiliteringar, og det er innført krav om energimerking ved sal, utleige og nyoppføring av bygningar. Enova si ver</w:t>
      </w:r>
      <w:r>
        <w:t>k</w:t>
      </w:r>
      <w:r>
        <w:t xml:space="preserve">semd grensar opp mot og kompletterer dei andre delane av verkemiddelapparatet. </w:t>
      </w:r>
    </w:p>
    <w:p w:rsidR="00880768" w:rsidRDefault="00880768" w:rsidP="00880768">
      <w:r>
        <w:t>Bruken av fyringsolje har minka dei siste åra og resultert i reduserte utslepp og bruken av fyring</w:t>
      </w:r>
      <w:r>
        <w:t>s</w:t>
      </w:r>
      <w:r>
        <w:t>parafin er nær fasa ut. Dei viktigaste elementa i politikken for å avgrense bruken av olje i stasjonær energiforsyning generelt, og for å redusere utslepp av CO</w:t>
      </w:r>
      <w:r>
        <w:rPr>
          <w:rStyle w:val="skrift-senket"/>
          <w:sz w:val="21"/>
          <w:szCs w:val="21"/>
        </w:rPr>
        <w:t>2</w:t>
      </w:r>
      <w:r>
        <w:t xml:space="preserve"> spesielt, er avgifter og kvotar på bruk av fossile brensel. </w:t>
      </w:r>
    </w:p>
    <w:p w:rsidR="00880768" w:rsidRDefault="00880768" w:rsidP="00880768">
      <w:r>
        <w:t>Gjennom byggteknisk forskrift er varmeinstallasjonar for fossilt brensel ikkje lov i nybygg og ved store ombyggingar. Regjeringa har vedteke forskrift om forbod mot bruk av mineralolje til op</w:t>
      </w:r>
      <w:r>
        <w:t>p</w:t>
      </w:r>
      <w:r>
        <w:t>varming av bygningar frå 2020, både til grunnlast og spisslast (topplast). I tillegg er støtteordningar i regi av Enova viktige. Enova støttar utbygging av fjernvarme og lokale energisentralar, som både erstattar eksisterande oppvarmingsbehov og dekkjer nytt behov som oppstår ved nybygg. I nokre tilfelle kan varmen erstatte oppvarming frå olje, i andre tilfelle frå elektrisitet og andre energiber</w:t>
      </w:r>
      <w:r>
        <w:t>a</w:t>
      </w:r>
      <w:r>
        <w:t>rar. Gjennom Enova-tilskotet støttar Enova òg direkte utfasing av oljefyring i bustadar og install</w:t>
      </w:r>
      <w:r>
        <w:t>a</w:t>
      </w:r>
      <w:r>
        <w:t>sjon av fornybare oppvarmingsalternativ.</w:t>
      </w:r>
    </w:p>
    <w:p w:rsidR="00880768" w:rsidRDefault="00880768" w:rsidP="00880768">
      <w:r>
        <w:t>Straumkundar skal få installert nye avanserte måle- og styringssystem (AMS) i åra framover. Net</w:t>
      </w:r>
      <w:r>
        <w:t>t</w:t>
      </w:r>
      <w:r>
        <w:t>selskapa skal ha avslutta utrullinga av AMS innan 1. januar 2019. Dei nye straummålarane reg</w:t>
      </w:r>
      <w:r>
        <w:t>i</w:t>
      </w:r>
      <w:r>
        <w:t xml:space="preserve">strerer straumforbruket kvar time og sender automatisk informasjon om forbruket til nettselskapet. Dette gir ei meir nøyaktig avrekning av forbruket og er dessutan venta </w:t>
      </w:r>
      <w:proofErr w:type="gramStart"/>
      <w:r>
        <w:t>å</w:t>
      </w:r>
      <w:proofErr w:type="gramEnd"/>
      <w:r>
        <w:t xml:space="preserve"> gjere kundane meir mer</w:t>
      </w:r>
      <w:r>
        <w:t>k</w:t>
      </w:r>
      <w:r>
        <w:t>same på sitt eige straumforbruk. AMS kan òg gi straumkundane betre høve til å styre eigen bruk og tilpasse straumbruken til variasjonar i straumprisen. AMS vil gjere det mogleg for nettselskap, kraftleverandørar og andre å tilby ulike tilleggstenester som utnyttar AMS-målarane. Det kan vere snakk om avtaler som inneber automatisk avgrensing av effektuttak, til dømes avtale om å kople ut tank for varmtvatn eller varmekablar i topplasttimar. AMS vil gi nettselskapa betre datagrunnlag slik at dei kan optimalisere drifta og investeringane i nettet.</w:t>
      </w:r>
    </w:p>
    <w:p w:rsidR="00880768" w:rsidRDefault="00880768" w:rsidP="00880768">
      <w:r>
        <w:t xml:space="preserve">Målet i EU er etter fornybardirektivet 20 prosent fornybar energi i 2020 (Direktiv 2009/28/EF om å fremme bruken av energi fra fornybare kilder). Noreg har teke på seg ei plikt til å auke til 67,5 prosent fornybar energi i 2020. Noreg har saman med Island den høgaste fornybardelen i Europa. I 2016 var fornybardelen i Noreg 69 prosent. Direktivet pålegg alle land </w:t>
      </w:r>
      <w:proofErr w:type="gramStart"/>
      <w:r>
        <w:t>å</w:t>
      </w:r>
      <w:proofErr w:type="gramEnd"/>
      <w:r>
        <w:t xml:space="preserve"> leggje fram ein nasjonal handlingsplan som viser korleis dei skal nå dei nasjonale måla sine.</w:t>
      </w:r>
    </w:p>
    <w:p w:rsidR="00880768" w:rsidRDefault="00880768" w:rsidP="00880768">
      <w:r>
        <w:lastRenderedPageBreak/>
        <w:t>Eit viktig verkemiddel for å nå det norske målet på 67,5 prosent under fornybardirektivet er den felles norsk-svenske marknaden for elsertifikat. Ordninga starta opp 1. januar 2012. Det samla m</w:t>
      </w:r>
      <w:r>
        <w:t>å</w:t>
      </w:r>
      <w:r>
        <w:t>let for ny fornybar elektrisitet i den sams elsertifikatmarknaden er 28,4 TWh i år 2020. I tillegg har Sverige sett mål om ytterlegare 18 TWh i 2030 under elsertifikatordninga. Noreg er ansvarleg for å finansiere 13,2 TWh, uavhengig av kor produksjonen kjem. Av produksjonen som inngår i produ</w:t>
      </w:r>
      <w:r>
        <w:t>k</w:t>
      </w:r>
      <w:r>
        <w:t>sjonsmålet er det per 1. juli 2018 godkjend anlegg med ein normalårsproduksjon tilsvarande 21,7 TWh. Av dette er anlegg med ein normalårsproduksjon på 5,9 TWh bygde i Noreg og anlegg med ein normalårsproduksjon på 15,8 TWh bygde i Sverige. I Noreg er det i tillegg godkjent anlegg under overgangsordninga med ein normalårsproduksjon på 3,2 TWh.</w:t>
      </w:r>
    </w:p>
    <w:p w:rsidR="00880768" w:rsidRDefault="00880768" w:rsidP="00880768">
      <w:r>
        <w:t>Nye utanlandssamband for elektrisitet skal etablerast i den grad dei er samfunnsøkonomisk lø</w:t>
      </w:r>
      <w:r>
        <w:t>n</w:t>
      </w:r>
      <w:r>
        <w:t xml:space="preserve">same. På lik linje med andre kraftoverføringsanlegg krev utanlandssamband viktige avvegingar mellom nytte og kostnader, inkludert omsyn til miljøet. </w:t>
      </w:r>
    </w:p>
    <w:p w:rsidR="00880768" w:rsidRDefault="00880768" w:rsidP="00880768">
      <w:pPr>
        <w:pStyle w:val="avsnitt-undertittel"/>
      </w:pPr>
      <w:r>
        <w:t>Miljøomsyn ved vassdrags- og energiverksemd</w:t>
      </w:r>
    </w:p>
    <w:p w:rsidR="00880768" w:rsidRDefault="00880768" w:rsidP="00880768">
      <w:r>
        <w:t>Miljøomsyn i samband med fornybar kraftproduksjon og nett er tekne vare på gjennom sektorlo</w:t>
      </w:r>
      <w:r>
        <w:t>v</w:t>
      </w:r>
      <w:r>
        <w:t>givinga, plan- og bygningslova, forureiningslova, naturmangfaldlova og vassforskrifta.</w:t>
      </w:r>
    </w:p>
    <w:p w:rsidR="00880768" w:rsidRDefault="00880768" w:rsidP="00880768">
      <w:r>
        <w:t xml:space="preserve">Konsesjonsbehandling av fornybar kraftproduksjon og nett har dei siste åra hatt høg prioritet. Det er viktig </w:t>
      </w:r>
      <w:proofErr w:type="gramStart"/>
      <w:r>
        <w:t>å</w:t>
      </w:r>
      <w:proofErr w:type="gramEnd"/>
      <w:r>
        <w:t xml:space="preserve"> sjå prosjekta i samanheng for å finne dei totalt sett beste løysingane. Det blir derfor søkt å få til ei mest mogleg samordna handsaming av prosjekt i same område, og mellom nett og pr</w:t>
      </w:r>
      <w:r>
        <w:t>o</w:t>
      </w:r>
      <w:r>
        <w:t>duksjon.</w:t>
      </w:r>
    </w:p>
    <w:p w:rsidR="00880768" w:rsidRDefault="00880768" w:rsidP="00880768">
      <w:r>
        <w:t xml:space="preserve">NVE sitt miljøtilsyn kontrollerer at miljøkrav som er </w:t>
      </w:r>
      <w:proofErr w:type="gramStart"/>
      <w:r>
        <w:t>fastsette</w:t>
      </w:r>
      <w:proofErr w:type="gramEnd"/>
      <w:r>
        <w:t xml:space="preserve"> i konsesjonar blir etterlevde, både i anleggs- og driftsfasen. Ei viktig oppgåve er godkjenning og oppfølging av detaljplanar for vas</w:t>
      </w:r>
      <w:r>
        <w:t>s</w:t>
      </w:r>
      <w:r>
        <w:t>drags- og energianlegg.</w:t>
      </w:r>
    </w:p>
    <w:p w:rsidR="00880768" w:rsidRDefault="00880768" w:rsidP="00880768">
      <w:r>
        <w:t>Verneplan for vassdrag er viktig for å sikre eit representativt utval av vassdragsnaturen i landet. Vernet gjeld først og fremst mot kraftutbygging, men verneverdiane skal òg takast omsyn til ved andre inngrep.</w:t>
      </w:r>
    </w:p>
    <w:p w:rsidR="00880768" w:rsidRDefault="00880768" w:rsidP="00880768">
      <w:r>
        <w:t>Kunnskap og systematisk oversyn over viktige område for truga arter og naturtypar er ein førese</w:t>
      </w:r>
      <w:r>
        <w:t>t</w:t>
      </w:r>
      <w:r>
        <w:t>nad for å stanse tapet av naturmangfald. Artsdatabanken spelar ei viktig rolle her. Føremålet med Artsdatabanken er å tette hol i kunnskapen og medverke til at data over naturmangfald blir samla i nasjonale databasar.</w:t>
      </w:r>
    </w:p>
    <w:p w:rsidR="00880768" w:rsidRDefault="00880768" w:rsidP="00880768">
      <w:r>
        <w:t>Gjennomføringa av EU sitt vassdirektiv med tilhøyrande forvaltingsplanar skal fremje ei heilska</w:t>
      </w:r>
      <w:r>
        <w:t>p</w:t>
      </w:r>
      <w:r>
        <w:t xml:space="preserve">leg forvaltning av vassressursane. Olje- og energidepartementet medverkar saman med NVE aktivt i dette arbeidet. </w:t>
      </w:r>
    </w:p>
    <w:p w:rsidR="00880768" w:rsidRDefault="00880768" w:rsidP="00880768">
      <w:pPr>
        <w:pStyle w:val="avsnitt-undertittel"/>
      </w:pPr>
      <w:r>
        <w:t>Klimatilpassing</w:t>
      </w:r>
    </w:p>
    <w:p w:rsidR="00880768" w:rsidRDefault="00880768" w:rsidP="00880768">
      <w:r>
        <w:t>Eit endra klima med meir nedbør og meir ekstremvêr krev tilpassingar. Klimatilpassing er viktig innan energi- og vassdragsforvaltinga. Noregs vassdrags- og energidirektorat (NVE) tek omsyn til klimatilpassing i arbeidet med flaum og skred, damtryggleik, vassdragskonsesjonar, energikons</w:t>
      </w:r>
      <w:r>
        <w:t>e</w:t>
      </w:r>
      <w:r>
        <w:t xml:space="preserve">sjonar, miljøtilsyn, kraftforsyning og energietterspørsel. </w:t>
      </w:r>
    </w:p>
    <w:p w:rsidR="00880768" w:rsidRDefault="00880768" w:rsidP="00880768">
      <w:r>
        <w:t xml:space="preserve">NVE sine oppgåver knytte til førebygging av skred- og flaumskadar kan delast inn i fem område: kartlegging, arealplanlegging, sikring, varsling og skred- og flaumfagleg bistand i beredskaps- og krisesituasjonar. For </w:t>
      </w:r>
      <w:proofErr w:type="gramStart"/>
      <w:r>
        <w:t>å</w:t>
      </w:r>
      <w:proofErr w:type="gramEnd"/>
      <w:r>
        <w:t xml:space="preserve"> førebyggje skade på liv, helse og verdiar vert det teke høgde for eit endra framtidig klima ved utarbeiding av faresonekart. Karta og fagleg rådgjeving om klimaendringar er eit viktig grunnlag for kommunane sitt arealplanarbeid, og medverkar til at ny utbygging skjer i trygge område. I arealplanarbeid etter plan- og bygningslova er NVE høyringspart og kan fremje motsegn på planar der NVE har eit forvaltningsansvar. Sikring av eksisterande busetjing og kritisk </w:t>
      </w:r>
      <w:r>
        <w:lastRenderedPageBreak/>
        <w:t>infrastruktur er òg sentralt i NVE sitt arbeid med klimatilpassing. NVE arrangerer fagsamlingar rundt i landet for kommunar, konsulentar og andre der kunnskap om flaum- og skredfare og klim</w:t>
      </w:r>
      <w:r>
        <w:t>a</w:t>
      </w:r>
      <w:r>
        <w:t xml:space="preserve">tilpassing vert formidla. Innan arbeidet med flaum og skred er det utvikla eit godt samarbeid med andre statlege etatar som Direktoratet for samfunnstryggleik og beredskap, Statens Vegvesen, Jernbaneverket, Meteorologisk institutt og andre. NVE skal framover òg støtte kommunane med </w:t>
      </w:r>
      <w:proofErr w:type="gramStart"/>
      <w:r>
        <w:t>å</w:t>
      </w:r>
      <w:proofErr w:type="gramEnd"/>
      <w:r>
        <w:t xml:space="preserve"> førebyggje skadar frå overvatn gjennom kunnskap om avrenning i tettbygde strøk (urbanhydrologi) og rettleiing til kommunal arealplanlegging. </w:t>
      </w:r>
    </w:p>
    <w:p w:rsidR="00880768" w:rsidRDefault="00880768" w:rsidP="00880768">
      <w:r>
        <w:t>Gjennom datainnsamling og analysar av lange tidsseriar, overvakar og vurderer NVE effekten av klimaendringar på hydrologi. NVE har FoU-aktivitetar innan modellering av kva effekt klim</w:t>
      </w:r>
      <w:r>
        <w:t>a</w:t>
      </w:r>
      <w:r>
        <w:t>endringar har og vil få på hydrologien i Noreg. Dette inkluderer effekten på flaum, tørke, sn</w:t>
      </w:r>
      <w:r>
        <w:t>ø</w:t>
      </w:r>
      <w:r>
        <w:t>mengder og utbreiing av isbrear. Dette gir grunnlaget for klimatilpassing i fleire sektorar. Dette arbeidet inngår som ein del av samarbeidet i Norsk Klimaservicesenter.</w:t>
      </w:r>
    </w:p>
    <w:p w:rsidR="00880768" w:rsidRDefault="00880768" w:rsidP="00880768">
      <w:pPr>
        <w:pStyle w:val="avsnitt-tittel"/>
      </w:pPr>
      <w:r>
        <w:t>Petroleumsverksemda</w:t>
      </w:r>
    </w:p>
    <w:p w:rsidR="00880768" w:rsidRDefault="00880768" w:rsidP="00880768">
      <w:r>
        <w:t>Klimautfordringen er global og kan bare løysast gjennom et bredt internasjonalt samarbeid, jf. N</w:t>
      </w:r>
      <w:r>
        <w:t>o</w:t>
      </w:r>
      <w:r>
        <w:t>regs tilslutning til Parisavtalen. I samsvar med dei overordna prinsippa for klimapolitikken i Noreg, er petroleumssektoren omfatta av sterke økonomiske verkemiddel, som CO</w:t>
      </w:r>
      <w:r>
        <w:rPr>
          <w:rStyle w:val="skrift-senket"/>
          <w:sz w:val="21"/>
          <w:szCs w:val="21"/>
        </w:rPr>
        <w:t>2</w:t>
      </w:r>
      <w:r>
        <w:t>-avgift og EU sitt kl</w:t>
      </w:r>
      <w:r>
        <w:t>i</w:t>
      </w:r>
      <w:r>
        <w:t>makvotesystem. Samla gjer desse at næringa betaler ein høg pris på utslepp som legg til rette for kostnadseffektive utsleppsreduksjonar. Oljeselskapa på norsk sokkel vil på lik linje med bedrifter i EU medverke til å redusere kvotepliktige utslepp med 43 prosent frå nivået i 2005 innan 2030. R</w:t>
      </w:r>
      <w:r>
        <w:t>e</w:t>
      </w:r>
      <w:r>
        <w:t>gjeringa vil føre vidare kvoteplikt og CO</w:t>
      </w:r>
      <w:r>
        <w:rPr>
          <w:rStyle w:val="skrift-senket"/>
          <w:sz w:val="21"/>
          <w:szCs w:val="21"/>
        </w:rPr>
        <w:t>2</w:t>
      </w:r>
      <w:r>
        <w:t>-avgift som hovudverkemiddel i klimapolitikken på norsk sokkel. Vidare må selskapa betale avgift for sine utslepp av NOx eller slutte seg til miljøavtala mellom den norske stat og næringsorganisasjonane.</w:t>
      </w:r>
    </w:p>
    <w:p w:rsidR="00880768" w:rsidRDefault="00880768" w:rsidP="00880768">
      <w:r>
        <w:t>Omsyn til miljø er ein integrert del av forvaltinga av dei norske petroleumsressursane. Miljøregul</w:t>
      </w:r>
      <w:r>
        <w:t>e</w:t>
      </w:r>
      <w:r>
        <w:t xml:space="preserve">ringar skjer på alle </w:t>
      </w:r>
      <w:proofErr w:type="gramStart"/>
      <w:r>
        <w:t>stadium</w:t>
      </w:r>
      <w:proofErr w:type="gramEnd"/>
      <w:r>
        <w:t xml:space="preserve"> av verksemda: Frå vurdering av om eit område skal opnast for petr</w:t>
      </w:r>
      <w:r>
        <w:t>o</w:t>
      </w:r>
      <w:r>
        <w:t>leumsverksemd, ved leiting, ved vurdering av korleis eit felt skal byggjast ut, ved spesifikke løyve knytte til drifta av feltet, ved årlege endringar av desse og fram til avslutting av produksjon og di</w:t>
      </w:r>
      <w:r>
        <w:t>s</w:t>
      </w:r>
      <w:r>
        <w:t>ponering av innretningane. Dette sikrar eit omfattande system der alle relevante styresmakter er med.</w:t>
      </w:r>
    </w:p>
    <w:p w:rsidR="00880768" w:rsidRDefault="00880768" w:rsidP="00880768">
      <w:r>
        <w:t>Utsleppa frå petroleumsverksemda i Noreg blir regulert gjennom fleire lover, mellom anna petr</w:t>
      </w:r>
      <w:r>
        <w:t>o</w:t>
      </w:r>
      <w:r>
        <w:t>leumslova, CO</w:t>
      </w:r>
      <w:r>
        <w:rPr>
          <w:rStyle w:val="skrift-senket"/>
          <w:sz w:val="21"/>
          <w:szCs w:val="21"/>
        </w:rPr>
        <w:t>2</w:t>
      </w:r>
      <w:r>
        <w:t>-avgiftslova, særavgiftslova, klimakvotelova og forureiningslova. Oppdateringar av forvaltingsplanar og nye konsekvensutgreiingar med oppdatert kunnskap, gjer at ei avgjerd kan treffast på eit best mogleg faktagrunnlag. Høyringsrundar gir alle aktørar høve til å bli høyrde. I tillegg har styresmaktene høve til å treffe enkeltvedtak, til dømes ved godkjenning av utbygging</w:t>
      </w:r>
      <w:r>
        <w:t>s</w:t>
      </w:r>
      <w:r>
        <w:t>planar.</w:t>
      </w:r>
    </w:p>
    <w:p w:rsidR="00880768" w:rsidRDefault="00880768" w:rsidP="00880768">
      <w:r>
        <w:t>Brenning av overskotsgass har aldri vore lov på norsk sokkel, og brenning av gass i fakkel er berre tillete når det er nødvendig av tryggleiksgrunnar. Slik brenning blir berre tillaten etter løyve frå Olje- og energidepartementet.</w:t>
      </w:r>
    </w:p>
    <w:p w:rsidR="00880768" w:rsidRDefault="00880768" w:rsidP="00880768">
      <w:r>
        <w:t>Utnytting av stordriftsfordelar som legg til rette for energieffektiv drift, har alltid vore eit viktig omsyn for aktiviteten på sokkelen. Nye utbyggingar baserer seg på best tilgjengeleg teknologi.</w:t>
      </w:r>
    </w:p>
    <w:p w:rsidR="00880768" w:rsidRDefault="00880768" w:rsidP="00880768">
      <w:r>
        <w:t>Kombinasjonen av både CO</w:t>
      </w:r>
      <w:r>
        <w:rPr>
          <w:rStyle w:val="skrift-senket"/>
          <w:sz w:val="21"/>
          <w:szCs w:val="21"/>
        </w:rPr>
        <w:t>2</w:t>
      </w:r>
      <w:r>
        <w:t xml:space="preserve">-avgift og kvoteplikt inneber at sektoren har ein høg pris på utslepp. Dette gir næringa </w:t>
      </w:r>
      <w:proofErr w:type="gramStart"/>
      <w:r>
        <w:t>ei</w:t>
      </w:r>
      <w:proofErr w:type="gramEnd"/>
      <w:r>
        <w:t xml:space="preserve"> sterk eigeninteresse i å redusere utsleppa sine. I 2018 er avgiftssatsen sett til 1,06 kroner per standardkubikkmeter gass eller liter olje eller kondensat som blir brent og 7,30 kroner per standardkubikkmeter naturgass som blir sleppt direkte ut til luft. Prisen på klim</w:t>
      </w:r>
      <w:r>
        <w:t>a</w:t>
      </w:r>
      <w:r>
        <w:t>gassutslepp på sokkelen er, med gjeldande kvotepris og avgiftssats, opp mot 600 kroner per tonn CO</w:t>
      </w:r>
      <w:r>
        <w:rPr>
          <w:rStyle w:val="skrift-senket"/>
          <w:sz w:val="21"/>
          <w:szCs w:val="21"/>
        </w:rPr>
        <w:t>2</w:t>
      </w:r>
      <w:r>
        <w:t>. Prisinga av utslepp har gitt store resultat i form av unngåtte utslepp frå norsk sokkel sama</w:t>
      </w:r>
      <w:r>
        <w:t>n</w:t>
      </w:r>
      <w:r>
        <w:t>likna med kva dei ville ha vore utan avgift og kvotar. Desse verkemidla gir selskapa ein kontinue</w:t>
      </w:r>
      <w:r>
        <w:t>r</w:t>
      </w:r>
      <w:r>
        <w:lastRenderedPageBreak/>
        <w:t>lig eigeninteresse av å redusere sine utslipp, både store og små, og samtidig ser etter nye teknol</w:t>
      </w:r>
      <w:r>
        <w:t>o</w:t>
      </w:r>
      <w:r>
        <w:t>gigjennombrot.</w:t>
      </w:r>
    </w:p>
    <w:p w:rsidR="00880768" w:rsidRDefault="00880768" w:rsidP="00880768">
      <w:r>
        <w:t>Ved handsaminga av Innst. S. nr. 114 (1995–1996) vedtok Stortinget at det ved alle nye feltutby</w:t>
      </w:r>
      <w:r>
        <w:t>g</w:t>
      </w:r>
      <w:r>
        <w:t xml:space="preserve">gingar skal leggjast fram </w:t>
      </w:r>
      <w:proofErr w:type="gramStart"/>
      <w:r>
        <w:t>ei</w:t>
      </w:r>
      <w:proofErr w:type="gramEnd"/>
      <w:r>
        <w:t xml:space="preserve"> oversikt over energibehov og kostnadene ved å nytte kraft frå land framfor gassturbinar. Kraft frå land skal vurderast av operatøren og følgjast opp av styresmaktene ved handsaminga av kvar enkelt ny plan for utbygging og drift. Ein føresetnad for ei løysing med kraft frå land er at det er sikra utbygging av tilstrekkeleg ny kraft eller at det blir ført fram tilstre</w:t>
      </w:r>
      <w:r>
        <w:t>k</w:t>
      </w:r>
      <w:r>
        <w:t>keleg nytt nett slik at det ikkje oppstår regionale ubalansar på utbyggingstidspunktet. Samtidig må ein ta vare på naturmangfaldet og omsynet til tiltakskostnadene.</w:t>
      </w:r>
    </w:p>
    <w:p w:rsidR="00880768" w:rsidRDefault="00880768" w:rsidP="00880768">
      <w:r>
        <w:t>Dei teknologiske og økonomiske konsekvensane av ei kraft frå land-løysing varierer sterkt frå u</w:t>
      </w:r>
      <w:r>
        <w:t>t</w:t>
      </w:r>
      <w:r>
        <w:t>bygging til utbygging. Kraft frå land krev store investeringar og vil ofte berre vere realistisk ved enkelte større, sjølvstendige utbyggingar eller større ombyggingar av store felt. Kraft frå land til eksisterande innretningar generelt er svært kostbart. Gitt variasjonen i konsekvensar, er det avgje</w:t>
      </w:r>
      <w:r>
        <w:t>r</w:t>
      </w:r>
      <w:r>
        <w:t>ande å ta stilling til spørsmålet om bruk av kraft frå land ved behandlinga av den enkelte utby</w:t>
      </w:r>
      <w:r>
        <w:t>g</w:t>
      </w:r>
      <w:r>
        <w:t>ginga.</w:t>
      </w:r>
    </w:p>
    <w:p w:rsidR="00880768" w:rsidRDefault="00880768" w:rsidP="00880768">
      <w:r>
        <w:t>Verkemidla overfor petroleumsverksemda har resultert i at det er gjennomført omfattande tiltak som direkte eller indirekte har gitt lågare utslepp av klimagassar. Det gjer at norsk petroleum</w:t>
      </w:r>
      <w:r>
        <w:t>s</w:t>
      </w:r>
      <w:r>
        <w:t xml:space="preserve">verksemd skjer med vesentlig lågare klimagassutslepp per produsert eining enn gjennomsnittet for oljeproduserande land. Utsleppa varierer mellom ulike felt og fasar, både i Noreg og internasjonalt. </w:t>
      </w:r>
    </w:p>
    <w:p w:rsidR="00880768" w:rsidRDefault="00880768" w:rsidP="00880768">
      <w:pPr>
        <w:pStyle w:val="avsnitt-tittel"/>
      </w:pPr>
      <w:r>
        <w:t>Forsking og utvikling</w:t>
      </w:r>
    </w:p>
    <w:p w:rsidR="00880768" w:rsidRDefault="00880768" w:rsidP="00880768">
      <w:r>
        <w:t>Regjeringa si satsing på forsking og utvikling i energi- og petroleumssektoren er avgjerande for at Noreg skal vere ein føregangsnasjon innan miljøvenleg energibruk og -produksjon. Satsinga me</w:t>
      </w:r>
      <w:r>
        <w:t>d</w:t>
      </w:r>
      <w:r>
        <w:t>verkar til å utvikle og ta i bruk nye teknologiar og løysingar og til effektiv og berekraftig utnytting av dei norske energi- og petroleumsressursane. Samtidig skal støtta gi norsk næringsliv og komp</w:t>
      </w:r>
      <w:r>
        <w:t>e</w:t>
      </w:r>
      <w:r>
        <w:t>tansemiljø betre evne til å konkurrere i dei internasjonale marknadene for miljø- og klimavenlege energiløysingar.</w:t>
      </w:r>
    </w:p>
    <w:p w:rsidR="00880768" w:rsidRDefault="00880768" w:rsidP="00880768">
      <w:r>
        <w:t>OED er den største bidragsytaren til finansiering av miljø- og klimarelevant forsking og utvikling gjennom Noregs forskingsråd. Ei nærare omtale av satsinga på forsking og teknologiutvikling finst under programkategori 18.30 Forsking og næringsutvikling.</w:t>
      </w:r>
    </w:p>
    <w:p w:rsidR="00880768" w:rsidRDefault="00880768" w:rsidP="00880768">
      <w:pPr>
        <w:pStyle w:val="avsnitt-undertittel"/>
      </w:pPr>
      <w:r>
        <w:t>Energiforsking</w:t>
      </w:r>
    </w:p>
    <w:p w:rsidR="00880768" w:rsidRDefault="00880768" w:rsidP="00880768">
      <w:r>
        <w:t>Offentleg støtte til energiforsking skal medverke til ei effektiv og berekraftig utnytting av nasjonale energiressursar og til ei effektiv, robust og miljøvenleg kraft- og energiforsyning i Noreg. Satsinga skal vere med på å utvikle miljøvennlege produkt, tenester og prosessar, mellom anna nye teknol</w:t>
      </w:r>
      <w:r>
        <w:t>o</w:t>
      </w:r>
      <w:r>
        <w:t>giar for fornybar energi, energieffektivisering og CO</w:t>
      </w:r>
      <w:r>
        <w:rPr>
          <w:rStyle w:val="skrift-senket"/>
          <w:sz w:val="21"/>
          <w:szCs w:val="21"/>
        </w:rPr>
        <w:t>2</w:t>
      </w:r>
      <w:r>
        <w:t>-handtering. Den offentlege satsinga på ene</w:t>
      </w:r>
      <w:r>
        <w:t>r</w:t>
      </w:r>
      <w:r>
        <w:t xml:space="preserve">giforsking skal òg medverke til næringsutvikling og til </w:t>
      </w:r>
      <w:proofErr w:type="gramStart"/>
      <w:r>
        <w:t>å</w:t>
      </w:r>
      <w:proofErr w:type="gramEnd"/>
      <w:r>
        <w:t xml:space="preserve"> byggje opp kunnskap av samfunnsfagleg karakter, til dømes om effektar av klimaendringar på energiområdet (auka nedbør, flaum, redusert oppvarmingsbehov etc.).</w:t>
      </w:r>
    </w:p>
    <w:p w:rsidR="00880768" w:rsidRDefault="00880768" w:rsidP="00880768">
      <w:r>
        <w:t>Energi21 er styresmaktene og næringa sin strategi for forsking, utvikling og kommersialisering av ny, klimavenleg energiteknologi. Energi21 gir styresmaktene og industrien råd om innretning av satsinga på forsking og utvikling av teknologiar for fornybar energi, energisystemet, energieffekt</w:t>
      </w:r>
      <w:r>
        <w:t>i</w:t>
      </w:r>
      <w:r>
        <w:t>visering, CO</w:t>
      </w:r>
      <w:r>
        <w:rPr>
          <w:rStyle w:val="skrift-senket"/>
          <w:sz w:val="21"/>
          <w:szCs w:val="21"/>
        </w:rPr>
        <w:t>2</w:t>
      </w:r>
      <w:r>
        <w:t>-handtering og energi til transportføremål.</w:t>
      </w:r>
    </w:p>
    <w:p w:rsidR="00880768" w:rsidRDefault="00880768" w:rsidP="00880768">
      <w:r>
        <w:t>Styret for Energi21 la 15. juni 2018 fram ein revidert strategi. Den nye Energi21-strategien tilrår å prioritere satsinga på energiteknologi på seks område:</w:t>
      </w:r>
    </w:p>
    <w:p w:rsidR="00880768" w:rsidRDefault="00880768" w:rsidP="00880768">
      <w:pPr>
        <w:pStyle w:val="Liste"/>
      </w:pPr>
      <w:r>
        <w:t>Digitaliserte og integrerte energisystem</w:t>
      </w:r>
    </w:p>
    <w:p w:rsidR="00880768" w:rsidRDefault="00880768" w:rsidP="00880768">
      <w:pPr>
        <w:pStyle w:val="Liste"/>
      </w:pPr>
      <w:r>
        <w:lastRenderedPageBreak/>
        <w:t>Klimavenlege energiteknologiar til maritim transport</w:t>
      </w:r>
    </w:p>
    <w:p w:rsidR="00880768" w:rsidRDefault="00880768" w:rsidP="00880768">
      <w:pPr>
        <w:pStyle w:val="Liste"/>
      </w:pPr>
      <w:r>
        <w:t>Solkraft for ein internasjonalt marknad</w:t>
      </w:r>
    </w:p>
    <w:p w:rsidR="00880768" w:rsidRDefault="00880768" w:rsidP="00880768">
      <w:pPr>
        <w:pStyle w:val="Liste"/>
      </w:pPr>
      <w:r>
        <w:t>Vasskraft som ryggrada i norsk energiforsyning</w:t>
      </w:r>
    </w:p>
    <w:p w:rsidR="00880768" w:rsidRDefault="00880768" w:rsidP="00880768">
      <w:pPr>
        <w:pStyle w:val="Liste"/>
      </w:pPr>
      <w:r>
        <w:t>Havvind for ein internasjonalt marknad</w:t>
      </w:r>
    </w:p>
    <w:p w:rsidR="00880768" w:rsidRDefault="00880768" w:rsidP="00880768">
      <w:pPr>
        <w:pStyle w:val="Liste"/>
      </w:pPr>
      <w:r>
        <w:t>Klimavennleg og energieffektiv industri inklusive CO</w:t>
      </w:r>
      <w:r>
        <w:rPr>
          <w:rStyle w:val="skrift-senket"/>
          <w:sz w:val="21"/>
          <w:szCs w:val="21"/>
        </w:rPr>
        <w:t>2</w:t>
      </w:r>
      <w:r>
        <w:t>-handtering</w:t>
      </w:r>
    </w:p>
    <w:p w:rsidR="00880768" w:rsidRDefault="00880768" w:rsidP="00880768">
      <w:r>
        <w:t>Det er åtte teknologisk retta forskingssenter for miljøvennleg energi (FME), for CO</w:t>
      </w:r>
      <w:r>
        <w:rPr>
          <w:rStyle w:val="skrift-senket"/>
          <w:sz w:val="21"/>
          <w:szCs w:val="21"/>
        </w:rPr>
        <w:t>2</w:t>
      </w:r>
      <w:r>
        <w:t>-handtering, miljøvennleg transport, vasskraft, biodrivstoff, energieffektivisering i industrien, smarte energisy</w:t>
      </w:r>
      <w:r>
        <w:t>s</w:t>
      </w:r>
      <w:r>
        <w:t>tem, nullutslepp i byområde og solceller. I tillegg er det tre samfunnsvitskaplege FMEar som skal medverke til å løyse utfordringar i energi- og klimapolitikken. FME-ordninga, som ligg under N</w:t>
      </w:r>
      <w:r>
        <w:t>o</w:t>
      </w:r>
      <w:r>
        <w:t>regs forskingsråd, er ei av dei viktigaste berebjelkane for norsk satsing på forsking, utvikling og innovasjon for berekraftige energisystem i framtida.</w:t>
      </w:r>
    </w:p>
    <w:p w:rsidR="00880768" w:rsidRDefault="00880768" w:rsidP="00880768">
      <w:r>
        <w:t>ENERGIX er Forskingsrådet sitt store, målretta program på energiområdet. Programmet skal me</w:t>
      </w:r>
      <w:r>
        <w:t>d</w:t>
      </w:r>
      <w:r>
        <w:t>verke til å utvikle eit heilskapleg energisystem som tek omsyn til berekraft og naturmiljøet. ENERGIX er det viktigaste programmet i Forskingsrådet for forsking på reduserte utslepp. Dette gjeld òg for forsking for lågare utslepp i og for næringslivet.</w:t>
      </w:r>
    </w:p>
    <w:p w:rsidR="00880768" w:rsidRDefault="00880768" w:rsidP="00880768">
      <w:r>
        <w:t>Noreg har teke ei internasjonal leiarrolle i utviklinga av teknologi for CO</w:t>
      </w:r>
      <w:r>
        <w:rPr>
          <w:rStyle w:val="skrift-senket"/>
          <w:sz w:val="21"/>
          <w:szCs w:val="21"/>
        </w:rPr>
        <w:t>2</w:t>
      </w:r>
      <w:r>
        <w:t>-handtering. CLIMIT er det offentlege støtteprogrammet for forsking, utvikling og demonstrasjon av teknologiar for fangst og lagring av CO</w:t>
      </w:r>
      <w:r>
        <w:rPr>
          <w:rStyle w:val="skrift-senket"/>
          <w:sz w:val="21"/>
          <w:szCs w:val="21"/>
        </w:rPr>
        <w:t>2</w:t>
      </w:r>
      <w:r>
        <w:t xml:space="preserve"> frå fossilt basert kraftproduksjon og industri. Programmet er administrert av Gassnova saman med Forskingsrådet. CLIMIT skal gi økonomisk støtte til prosjekt som utviklar kunnskap, kompetanse, teknologi og løysingar som kan gi viktige bidrag til kostnadsreduksjonar og brei internasjonal utbreiing av CO</w:t>
      </w:r>
      <w:r>
        <w:rPr>
          <w:rStyle w:val="skrift-senket"/>
          <w:sz w:val="21"/>
          <w:szCs w:val="21"/>
        </w:rPr>
        <w:t>2</w:t>
      </w:r>
      <w:r>
        <w:t>-handtering.</w:t>
      </w:r>
    </w:p>
    <w:p w:rsidR="00880768" w:rsidRDefault="00880768" w:rsidP="00880768">
      <w:pPr>
        <w:pStyle w:val="avsnitt-undertittel"/>
      </w:pPr>
      <w:r>
        <w:t>Petroleumsforsking</w:t>
      </w:r>
    </w:p>
    <w:p w:rsidR="00880768" w:rsidRDefault="00880768" w:rsidP="00880768">
      <w:r>
        <w:t xml:space="preserve">Offentleg støtte til FoU og kompetansebygging i petroleumssektoren er viktig for å sikre ei effektiv og miljøvenleg utnytting av petroleumsressursane og samtidig medverke til utvikling av den norske petroleumsnæringa som vår fremste høgteknologiske kunnskapsindustri. Satsinga medverkar til </w:t>
      </w:r>
      <w:proofErr w:type="gramStart"/>
      <w:r>
        <w:t>å</w:t>
      </w:r>
      <w:proofErr w:type="gramEnd"/>
      <w:r>
        <w:t xml:space="preserve"> byggje opp kunnskap og utvikle nye, meir miljøvenlege teknologiar og løysingar. Redusert milj</w:t>
      </w:r>
      <w:r>
        <w:t>ø</w:t>
      </w:r>
      <w:r>
        <w:t>påverknad og reduserte klimagassutslepp er viktig mål for petroleumsforskingsprogramma P</w:t>
      </w:r>
      <w:r>
        <w:t>E</w:t>
      </w:r>
      <w:r>
        <w:t>TROMAKS 2 og DEMO 2000.</w:t>
      </w:r>
    </w:p>
    <w:p w:rsidR="00880768" w:rsidRDefault="00880768" w:rsidP="00880768">
      <w:r>
        <w:t>Den nasjonale teknologistrategien for petroleumsverksemda, OG21, trekkjer fram fire prioriterte teknologiområde: Energieffektivitet og miljø; leiting og auka utvinning; boring, komplettering og intervensjon; og produksjon, prosessering og transport. Strategien har ei betydeleg merksemd mot klima og energieffektive og utsleppsreduserande løysingar.</w:t>
      </w:r>
    </w:p>
    <w:p w:rsidR="00880768" w:rsidRDefault="00880768" w:rsidP="00880768">
      <w:r>
        <w:t>Minst 25 mill. kroner per år av departementet si løyving til petroleumsforsking skal øyremerkast prosjekt knytte til energieffektivisering og reduserte klimagassutslepp. I 2017 gjekk 178 mill. kr</w:t>
      </w:r>
      <w:r>
        <w:t>o</w:t>
      </w:r>
      <w:r>
        <w:t xml:space="preserve">ner til dette føremålet gjennom prosjekt i PETROMAKS 2 og DEMO 2000-programma. Dette svarer til meir enn 52 prosent av departementets løyvingar til dei to </w:t>
      </w:r>
      <w:proofErr w:type="gramStart"/>
      <w:r>
        <w:t>programma</w:t>
      </w:r>
      <w:proofErr w:type="gramEnd"/>
      <w:r>
        <w:t xml:space="preserve"> i 2017. Tala er b</w:t>
      </w:r>
      <w:r>
        <w:t>a</w:t>
      </w:r>
      <w:r>
        <w:t>serte på Forskingsrådets eigne vurderingar og system for teljing.</w:t>
      </w:r>
    </w:p>
    <w:p w:rsidR="00880768" w:rsidRDefault="00880768" w:rsidP="00880768">
      <w:r>
        <w:t>Forskingsrådet har òg gjort ein analyse av den offentleg finansierte petroleumsforskinga basert på ei spørjeundersøking blant alle dei som har motteke støtte. Analysen byggjer på alle petroleum</w:t>
      </w:r>
      <w:r>
        <w:t>s</w:t>
      </w:r>
      <w:r>
        <w:t xml:space="preserve">prosjekt i PETROMAKS 2 og DEMO 2000 med oppstart i perioden 2015–2018. Den viser at 60 prosent av prosjekta utviklar kunnskap og teknologi som kan gi lågare utslepp av klimagassar. Det skjer gjennom ny teknologi, kompetanse, og energieffektiviseringstiltak på eksisterande og nye installasjonar på norsk sokkel. </w:t>
      </w:r>
    </w:p>
    <w:p w:rsidR="00880768" w:rsidRDefault="00880768" w:rsidP="00880768">
      <w:r>
        <w:t>Det blir løyvd midlar til to forskings- og kompetansesenter over Olje- og energidepartementet sitt budsjett, ARCEx og National IOR Centre. Desse skal mellom anna utvikle klima- og miljøvennl</w:t>
      </w:r>
      <w:r>
        <w:t>e</w:t>
      </w:r>
      <w:r>
        <w:t>ge løysingar for norsk petroleumsverksemd. ARCEx har som eit hovudmål å utvikle meir milj</w:t>
      </w:r>
      <w:r>
        <w:t>ø</w:t>
      </w:r>
      <w:r>
        <w:lastRenderedPageBreak/>
        <w:t xml:space="preserve">vennleg teknologi for leiting etter olje og gass i Arktis. </w:t>
      </w:r>
      <w:proofErr w:type="gramStart"/>
      <w:r>
        <w:t>Det</w:t>
      </w:r>
      <w:proofErr w:type="gramEnd"/>
      <w:r>
        <w:t xml:space="preserve"> vert òg lagt vekt på å skaffe fram ny kunnskap om økosystema for å analysere miljøpåverknad og miljørisiko. IOR-senteret utviklar metodar for å kunne velje dei beste og mest energieffektive og miljøvennlege injeksjonsmetodane for ulike felt.</w:t>
      </w:r>
    </w:p>
    <w:p w:rsidR="00880768" w:rsidRDefault="00880768" w:rsidP="00880768">
      <w:r>
        <w:t>Eit nytt forskingssenter for lågutsleppsteknologi for petroleumsverksemda på norsk sokkel er pla</w:t>
      </w:r>
      <w:r>
        <w:t>n</w:t>
      </w:r>
      <w:r>
        <w:t>lagt. Målet med senteret er å utvikle lågutslepps- eller nullutsleppsteknologi som gjer det mogleg at framtidig utbygging og drift av petroleumsførekomster kan skje med lågast mogleg utslepp av kl</w:t>
      </w:r>
      <w:r>
        <w:t>i</w:t>
      </w:r>
      <w:r>
        <w:t>magassar. Senteret skal òg utvikle teknologi som kan medverke til ein betydeleg reduksjon av u</w:t>
      </w:r>
      <w:r>
        <w:t>t</w:t>
      </w:r>
      <w:r>
        <w:t>slepp frå eksisterande installasjonar. Senteret er kunngjort og vil bli tildelt på slutten av 2018 eller tidleg i 2019.</w:t>
      </w:r>
    </w:p>
    <w:p w:rsidR="00880768" w:rsidRDefault="00880768" w:rsidP="00880768">
      <w:r>
        <w:t>Det blir òg løyvd midlar til langtidsverknader av utslepp til sjø gjennom Forskingsrådets program MARINFORSK, og til SEAPOP, som skaffar fram grunnleggjande kunnskap om norsk sjøfugl og kartlegg og overvakar sjøfuglbestandar i Noreg.</w:t>
      </w:r>
    </w:p>
    <w:p w:rsidR="00880768" w:rsidRDefault="00880768" w:rsidP="00880768">
      <w:pPr>
        <w:pStyle w:val="Overskrift2"/>
      </w:pPr>
      <w:r>
        <w:t>Klimaeffekten av framlagt budsjett</w:t>
      </w:r>
    </w:p>
    <w:p w:rsidR="00880768" w:rsidRDefault="00880768" w:rsidP="00880768">
      <w:r>
        <w:t xml:space="preserve">Satsinga på FoU og raskare bruk av ny teknologi i energi- og petroleumssektoren skal medverke til meir effektiv og miljøvennleg utnytting av norske energiressursar. Vidare skal den medverke til reduksjon av nasjonale og globale utslepp utover det som kan ventast med eksisterande teknologi og løysingar. Den kunnskapen ein kjem fram til i dag vil kunne gi grunnlag for ny forsking og ny kunnskap. Grunna uvisse om omfang og tidspunkt for introdusering og kommersialisering av ny teknologi under utvikling, finst det </w:t>
      </w:r>
      <w:proofErr w:type="gramStart"/>
      <w:r>
        <w:t>ingen</w:t>
      </w:r>
      <w:proofErr w:type="gramEnd"/>
      <w:r>
        <w:t xml:space="preserve"> presise anslag på framtidige utsleppseffektar av teknologi som berre er på forskings- og utviklingsstadiet.</w:t>
      </w:r>
    </w:p>
    <w:p w:rsidR="00880768" w:rsidRDefault="00880768" w:rsidP="00880768">
      <w:r>
        <w:t>Regjeringa sin strategi for arbeidet med CO</w:t>
      </w:r>
      <w:r>
        <w:rPr>
          <w:rStyle w:val="skrift-senket"/>
          <w:sz w:val="21"/>
          <w:szCs w:val="21"/>
        </w:rPr>
        <w:t>2</w:t>
      </w:r>
      <w:r>
        <w:t>-handtering vart lagt fram i Prop. 1 S (2014–2015). Det overordna målet er å medverke til at CO</w:t>
      </w:r>
      <w:r>
        <w:rPr>
          <w:rStyle w:val="skrift-senket"/>
          <w:sz w:val="21"/>
          <w:szCs w:val="21"/>
        </w:rPr>
        <w:t>2</w:t>
      </w:r>
      <w:r>
        <w:t>-handtering blir eit kostnadseffektivt tiltak i arbeidet mot globale klimaendringar. Arbeidet med CO</w:t>
      </w:r>
      <w:r>
        <w:rPr>
          <w:rStyle w:val="skrift-senket"/>
          <w:sz w:val="21"/>
          <w:szCs w:val="21"/>
        </w:rPr>
        <w:t>2</w:t>
      </w:r>
      <w:r>
        <w:t>-handtering skal medverke til å utvikle og demonstrere teknologi for fangst og lagring av CO</w:t>
      </w:r>
      <w:r>
        <w:rPr>
          <w:rStyle w:val="skrift-senket"/>
          <w:sz w:val="21"/>
          <w:szCs w:val="21"/>
        </w:rPr>
        <w:t>2</w:t>
      </w:r>
      <w:r>
        <w:t xml:space="preserve"> med eit spreiingspotensial. Tiltaka i regjeringas strategi o</w:t>
      </w:r>
      <w:r>
        <w:t>m</w:t>
      </w:r>
      <w:r>
        <w:t>fattar forsking, utvikling og demonstrasjon, arbeid med å realisere fullskala demonstrasjonsanlegg, transport, lagring og alternativ bruk av CO</w:t>
      </w:r>
      <w:r>
        <w:rPr>
          <w:rStyle w:val="skrift-senket"/>
          <w:sz w:val="21"/>
          <w:szCs w:val="21"/>
        </w:rPr>
        <w:t>2</w:t>
      </w:r>
      <w:r>
        <w:t xml:space="preserve"> og internasjonalt arbeid for </w:t>
      </w:r>
      <w:proofErr w:type="gramStart"/>
      <w:r>
        <w:t>å</w:t>
      </w:r>
      <w:proofErr w:type="gramEnd"/>
      <w:r>
        <w:t xml:space="preserve"> fremje CO</w:t>
      </w:r>
      <w:r>
        <w:rPr>
          <w:rStyle w:val="skrift-senket"/>
          <w:sz w:val="21"/>
          <w:szCs w:val="21"/>
        </w:rPr>
        <w:t>2</w:t>
      </w:r>
      <w:r>
        <w:t>-handtering. Det er ikkje mogleg per i dag å kvantifisere utsleppsreduksjonane som vil kunne realiserast gje</w:t>
      </w:r>
      <w:r>
        <w:t>n</w:t>
      </w:r>
      <w:r>
        <w:t>nom desse tiltaka. Kor store reduksjonar i CO</w:t>
      </w:r>
      <w:r>
        <w:rPr>
          <w:rStyle w:val="skrift-senket"/>
          <w:sz w:val="21"/>
          <w:szCs w:val="21"/>
        </w:rPr>
        <w:t>2</w:t>
      </w:r>
      <w:r>
        <w:t>-utslepp som kan oppnåast avheng av kor CO</w:t>
      </w:r>
      <w:r>
        <w:rPr>
          <w:rStyle w:val="skrift-senket"/>
          <w:sz w:val="21"/>
          <w:szCs w:val="21"/>
        </w:rPr>
        <w:t>2</w:t>
      </w:r>
      <w:r>
        <w:t>-fangst eventuelt blir realisert og blant anna av kva slag tekniske løysingar som blir valt.</w:t>
      </w:r>
    </w:p>
    <w:p w:rsidR="00880768" w:rsidRDefault="00880768" w:rsidP="00880768">
      <w:r>
        <w:t>Enova sitt mandat vart sist forankra i Stortinget ved behandlinga av Energimeldinga i 2016. For</w:t>
      </w:r>
      <w:r>
        <w:t>m</w:t>
      </w:r>
      <w:r>
        <w:t xml:space="preserve">ålet med Enova og Klima- og energifondet er å medverke til reduserte klimagassutslepp og styrkt forsyningstryggleik for energi, og teknologiutvikling som på lengre sikt òg medverkar til reduserte klimagassutslepp. Enova sine støtteordningar, informasjonsverksemd og andre aktivitetar verkar inn på moglegheitene til </w:t>
      </w:r>
      <w:proofErr w:type="gramStart"/>
      <w:r>
        <w:t>å</w:t>
      </w:r>
      <w:proofErr w:type="gramEnd"/>
      <w:r>
        <w:t xml:space="preserve"> nå mål knytt til energi og klimagassutslepp i alle sektorar. </w:t>
      </w:r>
      <w:proofErr w:type="gramStart"/>
      <w:r>
        <w:t>På Olje- og energidepartementet sitt område er</w:t>
      </w:r>
      <w:proofErr w:type="gramEnd"/>
      <w:r>
        <w:t xml:space="preserve"> det særleg punktet om forsyningstryggleik for energi som er sentralt. Bruk av fornybar energi skal medverke til reduserte klimagassutslepp og til å nå lågu</w:t>
      </w:r>
      <w:r>
        <w:t>t</w:t>
      </w:r>
      <w:r>
        <w:t>sleppsamfunnet. Frå 1. mai 2018 er eigaroppfølginga av Enova SF overført frå Olje- og energid</w:t>
      </w:r>
      <w:r>
        <w:t>e</w:t>
      </w:r>
      <w:r>
        <w:t xml:space="preserve">partementet til Klima- og miljødepartementet (KLD). KLD følgjer opp den fireårige avtala om forvaltinga av Klima- og energifondet som gjeld til utgangen av 2020. </w:t>
      </w:r>
    </w:p>
    <w:p w:rsidR="00880768" w:rsidRDefault="00880768" w:rsidP="00880768">
      <w:pPr>
        <w:pStyle w:val="Overskrift2"/>
      </w:pPr>
      <w:r>
        <w:t>Berekraftsmålet for energi</w:t>
      </w:r>
    </w:p>
    <w:p w:rsidR="00880768" w:rsidRDefault="00880768" w:rsidP="00880768">
      <w:r>
        <w:t>I 2015 vedtok FNs medlemsland 17 mål for berekraftig utvikling fram mot 2030. Berekraftsmål nr. 7, energimålet, seier at ein skal «</w:t>
      </w:r>
      <w:r>
        <w:rPr>
          <w:rStyle w:val="kursiv"/>
          <w:sz w:val="21"/>
          <w:szCs w:val="21"/>
        </w:rPr>
        <w:t>sikre allmenn tilgang til pålitelig, berekraftig og moderne energi til en overkomeleg pris»</w:t>
      </w:r>
      <w:r>
        <w:t>. Vidare er det definert tre delmål og to gjennomføringsmekanismar.</w:t>
      </w:r>
    </w:p>
    <w:p w:rsidR="00880768" w:rsidRDefault="00880768" w:rsidP="00880768">
      <w:r>
        <w:lastRenderedPageBreak/>
        <w:t>Tilgang til energi er ein føresetnad for økonomisk vekst og er derfor heilt sentralt i arbeidet med å avskaffe fattigdom. Meir fornybar energi og meir effektiv energibruk medverkar både til å redusere utslepp av klimagassar og til å avgrense andre miljø- og helsekostnader.</w:t>
      </w:r>
    </w:p>
    <w:p w:rsidR="00880768" w:rsidRDefault="00880768" w:rsidP="00880768">
      <w:r>
        <w:t>Energimålet og dei ulike delmåla er anten oppnådde nasjonalt eller i tråd med norsk politikk og nasjonale mål. Det er så langt føremålstenleg sikra energitilgang til alle. Nesten all produksjon av elektrisitet er fornybar, og av den samla energibruken er delen fornybar energi på 69 prosent. Ve</w:t>
      </w:r>
      <w:r>
        <w:t>r</w:t>
      </w:r>
      <w:r>
        <w:t>kemiddel på både tilbods- og brukssida støttar opp om ein overgang frå fossil til fornybar energi og meir effektiv energibruk. Det er mellom anna innført strenge energikrav til bygg og krav til økod</w:t>
      </w:r>
      <w:r>
        <w:t>e</w:t>
      </w:r>
      <w:r>
        <w:t>sign og energimerking av energirelaterte produkt. I tillegg medverkar Enova til å utvikle marknader for energieffektive løysingar.</w:t>
      </w:r>
    </w:p>
    <w:p w:rsidR="00880768" w:rsidRDefault="00880768" w:rsidP="00880768">
      <w:r>
        <w:t>Energipolitikken må ta omsyn til energiforsyningstryggleiken, klimautfordringane, naturmiljøet og verdiskapinga. Regjeringa vil leggje til rette for ei framhalden effektiv, klimavennleg og sikker energiforsyning i Noreg. Oppgåvene må løysast på måtar som gir størst verdiar for samfunnet til lågast mogleg kostnad.</w:t>
      </w:r>
    </w:p>
    <w:p w:rsidR="00880768" w:rsidRDefault="00880768" w:rsidP="00880768">
      <w:r>
        <w:t xml:space="preserve">Ifølgje den siste statusrapporten frå generalsekretæren i FN manglar ein milliard menneskje tilgang til elektrisitet og 3 milliardar menneske brukar ineffektive og forureinande kokeomnar. Over fire millionar menneske døyr for tidleg på grunn av luftforureining i heimen. Delen fornybar energi i den globale energimiksen aukar og energibruken blir meir effektiv. Utan betydeleg auka innsats vil ikkje berekraftsmålet for energi bli nådd. Noreg har leia arbeidet med den globale gjennomgangen av status for berekraftsmålet for energi. </w:t>
      </w:r>
    </w:p>
    <w:p w:rsidR="00880768" w:rsidRDefault="00880768" w:rsidP="00880768">
      <w:r>
        <w:t>Gjennom innsatsen for fornybar energi i utviklingspolitikken ønskjer Noreg å medverke til at u</w:t>
      </w:r>
      <w:r>
        <w:t>t</w:t>
      </w:r>
      <w:r>
        <w:t>viklingsland når berekraftsmålet for energi. Innsatsen skal medverke til å innfri Paris-avtala og støttar utviklingsland sitt arbeid med auka bruk av fornybar energi og energieffektivisering, slik dette er nedfelt i landa sine innmelde klimaplanar. Regjeringa legg stor vekt på å bruke bistand</w:t>
      </w:r>
      <w:r>
        <w:t>s</w:t>
      </w:r>
      <w:r>
        <w:t xml:space="preserve">midlar slik at privat og kommersiell kapital kan utløysast. Samarbeidet med norsk næringsliv vil bli styrkt og det blir lagt vekt på å nytte norske fortrinn som vasskraft og solkraft. Norfund er saman med Norad sine næringslivsordningar, GIEK og Eksportkreditt sentrale verkemiddel for å få med norske bedrifter. </w:t>
      </w:r>
    </w:p>
    <w:p w:rsidR="00880768" w:rsidRDefault="00880768" w:rsidP="00880768">
      <w:r>
        <w:t>Auka produksjon av fornybar kraft krev svært store investeringar. Norfund vil vere hovudinstr</w:t>
      </w:r>
      <w:r>
        <w:t>u</w:t>
      </w:r>
      <w:r>
        <w:t>ment frå norsk side for å medverke til ny kraftutbygging i utviklingsland. Norfund har etablert partnarskap med norske selskap for å sikre meir kapital og teknisk kompetanse. I tillegg vil det vere viktig å medverke til elektrifisering gjennom utbygging av straumnettet, lokalt straumnett eller lø</w:t>
      </w:r>
      <w:r>
        <w:t>y</w:t>
      </w:r>
      <w:r>
        <w:t xml:space="preserve">singar for enkeltbustader. Framover vil innsatsen bli styrkt innanfor humanitær bistand og i sårbare statar. </w:t>
      </w:r>
    </w:p>
    <w:p w:rsidR="00880768" w:rsidRDefault="00880768" w:rsidP="00880768">
      <w:r>
        <w:t xml:space="preserve">Noreg har i mange år òg gitt støtte til auka produksjon av fornybar energi, energitilgang og meir effektiv energibruk gjennom EØS-ordningane. </w:t>
      </w:r>
    </w:p>
    <w:p w:rsidR="00880768" w:rsidRDefault="00880768" w:rsidP="00880768">
      <w:r>
        <w:t>Gjennom programmet Olje for utvikling deler Noreg si erfaring med å utvinne petroleumsressur</w:t>
      </w:r>
      <w:r>
        <w:t>s</w:t>
      </w:r>
      <w:r>
        <w:t>ane på ein måte som tek omsyn til miljø og klima. Policydialog og bistand til reformer, lovverk, institusjonsbygging og regionalt samarbeid er sentrale område for tilrettelegging for investeringar frå privat sektor.</w:t>
      </w:r>
    </w:p>
    <w:p w:rsidR="00880768" w:rsidRDefault="00880768" w:rsidP="00880768">
      <w:pPr>
        <w:pStyle w:val="Overskrift1"/>
      </w:pPr>
      <w:r>
        <w:t>Konkurransesituasjonen på norsk sokkel og framtidsutsi</w:t>
      </w:r>
      <w:r>
        <w:t>k</w:t>
      </w:r>
      <w:r>
        <w:t>tene for norsk leverandørindustri</w:t>
      </w:r>
    </w:p>
    <w:p w:rsidR="00880768" w:rsidRDefault="00880768" w:rsidP="00880768">
      <w:r>
        <w:t>Olje- og energidepartementet har utgreia konkurransesituasjonen på norsk sokkel og framtidsutsi</w:t>
      </w:r>
      <w:r>
        <w:t>k</w:t>
      </w:r>
      <w:r>
        <w:t>tene for norsk leverandørindustri, jf. oppmodingsvedtak 765 (2016–2017). Utgreiinga er gjenno</w:t>
      </w:r>
      <w:r>
        <w:t>m</w:t>
      </w:r>
      <w:r>
        <w:lastRenderedPageBreak/>
        <w:t xml:space="preserve">ført med bakgrunn i innspel frå Oljedirektoratet (OD) og analysar frå analysebyrå. Den er føretatt i dialog med Nærings- og fiskeridepartementet. </w:t>
      </w:r>
    </w:p>
    <w:p w:rsidR="00880768" w:rsidRDefault="00880768" w:rsidP="00880768">
      <w:r>
        <w:t>Utgreiinga inneheld trendar i konkurranse og mangfald blant rettshavarane på norsk kontinenta</w:t>
      </w:r>
      <w:r>
        <w:t>l</w:t>
      </w:r>
      <w:r>
        <w:t xml:space="preserve">sokkel og aktørbildet for leverandørar internasjonalt og i Noreg. Utsiktene for heimemarknaden på norsk kontinentalsokkel dei kommande fem </w:t>
      </w:r>
      <w:proofErr w:type="gramStart"/>
      <w:r>
        <w:t>åra</w:t>
      </w:r>
      <w:proofErr w:type="gramEnd"/>
      <w:r>
        <w:t xml:space="preserve"> og for den internasjonale offshoremarknaden er omtalt og det same er dei moglegheitene og utfordringane leverandørselskapa står overfor. Avslu</w:t>
      </w:r>
      <w:r>
        <w:t>t</w:t>
      </w:r>
      <w:r>
        <w:t>ningsvis er perspektiva for korleis norsk kontinentalsokkel kan bidra som grunnlag for ein ber</w:t>
      </w:r>
      <w:r>
        <w:t>e</w:t>
      </w:r>
      <w:r>
        <w:t xml:space="preserve">kraftig leverandørindustri også framover omhandla. </w:t>
      </w:r>
    </w:p>
    <w:p w:rsidR="00880768" w:rsidRDefault="00880768" w:rsidP="00880768">
      <w:r>
        <w:t>Olje- og gassverksemd er i kontinuerleg endring som følgje av endringar i olje- og gassmarknadene og som følgje av endringar i geologiske, teknologiske og industrielle forhold. Næringa er kontin</w:t>
      </w:r>
      <w:r>
        <w:t>u</w:t>
      </w:r>
      <w:r>
        <w:t>erleg utsett for omstilling og omstruktureringar, noko som er nødvendig for å utvikle og halde ved lag sunn konkurranse, konkurransekraft, verdiskaping og dermed langsiktig aktivitet og sysselse</w:t>
      </w:r>
      <w:r>
        <w:t>t</w:t>
      </w:r>
      <w:r>
        <w:t xml:space="preserve">ting. </w:t>
      </w:r>
    </w:p>
    <w:p w:rsidR="00880768" w:rsidRDefault="00880768" w:rsidP="00880768">
      <w:r>
        <w:t>Det er næringa sjølv som må identifisere og reagere på utviklingstrekk som fører til behov for en</w:t>
      </w:r>
      <w:r>
        <w:t>d</w:t>
      </w:r>
      <w:r>
        <w:t>ring og omstilling. Det er ikkje identifisert behov for tiltak frå styresmaktene si side i denne samanhengen. Olje- og energidepartementet vil også framover følgje utviklinga i dei ulike delane av næringa for å sikre lønnsam produksjon av olje og gass på norsk kontinentalsokkel i eit langsi</w:t>
      </w:r>
      <w:r>
        <w:t>k</w:t>
      </w:r>
      <w:r>
        <w:t>tig perspektiv.</w:t>
      </w:r>
    </w:p>
    <w:p w:rsidR="00880768" w:rsidRDefault="00880768" w:rsidP="00880768">
      <w:pPr>
        <w:pStyle w:val="Overskrift2"/>
      </w:pPr>
      <w:r>
        <w:t>Mangfald av rettshavarar på norsk sokkel</w:t>
      </w:r>
    </w:p>
    <w:p w:rsidR="00880768" w:rsidRDefault="00880768" w:rsidP="00880768">
      <w:r>
        <w:t xml:space="preserve">Hovudmålet i petroleumspolitikken er </w:t>
      </w:r>
      <w:proofErr w:type="gramStart"/>
      <w:r>
        <w:t>å</w:t>
      </w:r>
      <w:proofErr w:type="gramEnd"/>
      <w:r>
        <w:t xml:space="preserve"> leggje til rette for lønnsam produksjon av olje og gass i eit langsiktig perspektiv, jf. Prop. 80 S (2017–2018). I den norske modellen nyttar staten oljeselskapa til å skape verdiar for fellesskapet. Dei har ansvar for </w:t>
      </w:r>
      <w:proofErr w:type="gramStart"/>
      <w:r>
        <w:t>å</w:t>
      </w:r>
      <w:proofErr w:type="gramEnd"/>
      <w:r>
        <w:t xml:space="preserve"> planleggje og gjennomføre aktivitet i alle fasar av petroleumsverksemda i eit utvinningsløyve frå leiting til eventuell utbygging, drift og ne</w:t>
      </w:r>
      <w:r>
        <w:t>d</w:t>
      </w:r>
      <w:r>
        <w:t>stenging. Aktiviteten skjer innanfor dei overordna rammene styresmaktene nyttar for å styre akt</w:t>
      </w:r>
      <w:r>
        <w:t>i</w:t>
      </w:r>
      <w:r>
        <w:t>viteten. Den norske modellen er utforma slik at selskapa skal konkurrere når det er til fordel for ressursforvaltninga og samarbeide når det er optimalt. Utvinningsløyve blir som oftast gitt til ei gruppe selskap som gjennom organiseringa av aktiviteten alle har reell innverknad på aktiviteten i utvinningsløyvet.</w:t>
      </w:r>
    </w:p>
    <w:p w:rsidR="00880768" w:rsidRDefault="00880768" w:rsidP="00880768">
      <w:r>
        <w:t xml:space="preserve">For at denne ressursforvaltningsmodellen skal fungere er det viktig at oljeselskapa i størst mogleg grad har eigeninteresse av å ta dei avgjerder som er best også for staten som ressurseigar. Elles vil ikkje hovudmålet i politikken bli nådd. Reguleringa av næringa, inklusive utforminga av skatte- og avgiftssystemet og anna regulering, er derfor utforma med dette siktemålet. </w:t>
      </w:r>
    </w:p>
    <w:p w:rsidR="00880768" w:rsidRDefault="00880768" w:rsidP="00880768">
      <w:r>
        <w:t>Forretningsmoglegheitene på norsk sokkel omfattar eit stort spenn av aktivitet – gjennom heile kjeda frå leiting, via utbygging og drift og til haleproduksjon. Eit oljeselskap baserer verksemda si på ein bestemt forretningsstrategi. Desse vil gjerne ha delvis, men aldri full, overlapp med dei fo</w:t>
      </w:r>
      <w:r>
        <w:t>r</w:t>
      </w:r>
      <w:r>
        <w:t>retningsmoglegheitene som finst på norsk sokkel. Eit mangfald av oljeselskap med ulike forre</w:t>
      </w:r>
      <w:r>
        <w:t>t</w:t>
      </w:r>
      <w:r>
        <w:t>ningsstrategiar er derfor nødvendig for å få utnytta heile potensialet som ligg i norske petroleum</w:t>
      </w:r>
      <w:r>
        <w:t>s</w:t>
      </w:r>
      <w:r>
        <w:t xml:space="preserve">ressursar. </w:t>
      </w:r>
    </w:p>
    <w:p w:rsidR="00880768" w:rsidRDefault="00880768" w:rsidP="00880768">
      <w:r>
        <w:t>Dei mange fusjonane blant dei store oljeselskapa seint på 1990-talet og rundt tusenårsskiftet førte til at dei internasjonale selskapa vart færre og endå større. Samtidig hadde norsk sokkel, særleg Nordsjøen, utvikla seg til ein petroleumsprovins med ulik grad av mognad, og med ein type forre</w:t>
      </w:r>
      <w:r>
        <w:t>t</w:t>
      </w:r>
      <w:r>
        <w:t>ningsmoglegheiter som ikkje var av same interesse for ein del av dei etablerte, store selskapa</w:t>
      </w:r>
      <w:r>
        <w:rPr>
          <w:vertAlign w:val="superscript"/>
        </w:rPr>
        <w:footnoteReference w:id="6"/>
      </w:r>
      <w:r>
        <w:t xml:space="preserve">. Styresmaktene </w:t>
      </w:r>
      <w:proofErr w:type="gramStart"/>
      <w:r>
        <w:t>sette</w:t>
      </w:r>
      <w:proofErr w:type="gramEnd"/>
      <w:r>
        <w:t xml:space="preserve"> derfor i verk fleire tiltak for å leggje til rette for framhalden god ressursfo</w:t>
      </w:r>
      <w:r>
        <w:t>r</w:t>
      </w:r>
      <w:r>
        <w:t xml:space="preserve">valtning, slik at en skulle nå måla i petroleumspolitikken. Dette inkluderte tiltak for </w:t>
      </w:r>
      <w:proofErr w:type="gramStart"/>
      <w:r>
        <w:t>å</w:t>
      </w:r>
      <w:proofErr w:type="gramEnd"/>
      <w:r>
        <w:t xml:space="preserve"> gjere area</w:t>
      </w:r>
      <w:r>
        <w:t>l</w:t>
      </w:r>
      <w:r>
        <w:lastRenderedPageBreak/>
        <w:t>tildelingane meir føreseielege og for å auke talet på selskap, blant anna gjennom prekvalifiserings- og TFO (Tildeling i førehandsdefinerte område)-ordningane, ved innføring av leiterefusjonsor</w:t>
      </w:r>
      <w:r>
        <w:t>d</w:t>
      </w:r>
      <w:r>
        <w:t xml:space="preserve">ninga og ved styrkt regulering av tredjeparts tilgang til infrastruktur. Desse tiltaka har medverka til fleire selskap og større mangfald. </w:t>
      </w:r>
    </w:p>
    <w:p w:rsidR="00880768" w:rsidRDefault="00880768" w:rsidP="00880768">
      <w:r>
        <w:t xml:space="preserve">Mange mindre og mellomstore olje- og gasselskap og europeiske gass-/kraftselskap etablerte seg på norsk sokkel etter år 2000. </w:t>
      </w:r>
      <w:proofErr w:type="gramStart"/>
      <w:r>
        <w:t>Det</w:t>
      </w:r>
      <w:proofErr w:type="gramEnd"/>
      <w:r>
        <w:t xml:space="preserve"> same gjorde fleire nye norske selskap. Talet aktørar vart nesten dobla i perioden 2002 til 2007, der auken var særleg stor frå 2006 til 2007. Etter 2007 har talet a</w:t>
      </w:r>
      <w:r>
        <w:t>k</w:t>
      </w:r>
      <w:r>
        <w:t xml:space="preserve">tørar variert rundt 50, blant anna som følgje av talet på nyetableringar og oppkjøp. Frå 2015 til 2017 har det vore eit fall i talet på rettshavarselskap, i hovudsak som følgje av fusjonar og oppkjøp i etterkant av oljeprisfallet i 2014. Ved utgangen av 2017 var det 43 aktive selskap på norsk sokkel. Sett i eit historisk perspektiv er dette talet aktørar relativt høgt, også samanlikna med mange andre sektorar. </w:t>
      </w:r>
    </w:p>
    <w:p w:rsidR="00880768" w:rsidRDefault="006004F2" w:rsidP="006004F2">
      <w:pPr>
        <w:pStyle w:val="Figur"/>
      </w:pPr>
      <w:r>
        <w:t>[:figur:figX-X.jpg]</w:t>
      </w:r>
    </w:p>
    <w:p w:rsidR="00880768" w:rsidRDefault="00880768" w:rsidP="00880768">
      <w:pPr>
        <w:pStyle w:val="figur-tittel"/>
      </w:pPr>
      <w:r>
        <w:t>Talet på rettshavarar på norsk sokkel (Oljedirektoratet)</w:t>
      </w:r>
    </w:p>
    <w:p w:rsidR="00880768" w:rsidRDefault="00880768" w:rsidP="00880768">
      <w:pPr>
        <w:pStyle w:val="tittel-ramme"/>
      </w:pPr>
      <w:r>
        <w:t>Gruppering av selskap som er rettshavar på norsk sokkel per 2017</w:t>
      </w:r>
    </w:p>
    <w:p w:rsidR="00880768" w:rsidRDefault="00880768" w:rsidP="00880768">
      <w:pPr>
        <w:pStyle w:val="Tabellnavn"/>
      </w:pPr>
      <w:r>
        <w:t>02N0xt2</w:t>
      </w:r>
    </w:p>
    <w:tbl>
      <w:tblPr>
        <w:tblStyle w:val="StandardTabell"/>
        <w:tblW w:w="9200" w:type="dxa"/>
        <w:tblLayout w:type="fixed"/>
        <w:tblLook w:val="04A0" w:firstRow="1" w:lastRow="0" w:firstColumn="1" w:lastColumn="0" w:noHBand="0" w:noVBand="1"/>
      </w:tblPr>
      <w:tblGrid>
        <w:gridCol w:w="7360"/>
        <w:gridCol w:w="1840"/>
      </w:tblGrid>
      <w:tr w:rsidR="00880768" w:rsidTr="003535A8">
        <w:trPr>
          <w:trHeight w:val="380"/>
        </w:trPr>
        <w:tc>
          <w:tcPr>
            <w:tcW w:w="7360" w:type="dxa"/>
            <w:shd w:val="clear" w:color="auto" w:fill="FFFFFF"/>
          </w:tcPr>
          <w:p w:rsidR="00880768" w:rsidRDefault="00880768" w:rsidP="003535A8">
            <w:r>
              <w:rPr>
                <w:sz w:val="21"/>
                <w:szCs w:val="21"/>
              </w:rPr>
              <w:t>Store norske selskap</w:t>
            </w:r>
          </w:p>
        </w:tc>
        <w:tc>
          <w:tcPr>
            <w:tcW w:w="1840" w:type="dxa"/>
          </w:tcPr>
          <w:p w:rsidR="00880768" w:rsidRDefault="00880768" w:rsidP="003535A8">
            <w:pPr>
              <w:jc w:val="right"/>
            </w:pPr>
            <w:r>
              <w:t>Equinor, Petoro</w:t>
            </w:r>
          </w:p>
        </w:tc>
      </w:tr>
      <w:tr w:rsidR="00880768" w:rsidRPr="0083591C" w:rsidTr="003535A8">
        <w:trPr>
          <w:trHeight w:val="380"/>
        </w:trPr>
        <w:tc>
          <w:tcPr>
            <w:tcW w:w="7360" w:type="dxa"/>
          </w:tcPr>
          <w:p w:rsidR="00880768" w:rsidRDefault="00880768" w:rsidP="003535A8">
            <w:r>
              <w:t>Store utanlandske selskap</w:t>
            </w:r>
          </w:p>
        </w:tc>
        <w:tc>
          <w:tcPr>
            <w:tcW w:w="1840" w:type="dxa"/>
          </w:tcPr>
          <w:p w:rsidR="00880768" w:rsidRPr="00676F59" w:rsidRDefault="00880768" w:rsidP="003535A8">
            <w:pPr>
              <w:jc w:val="right"/>
              <w:rPr>
                <w:lang w:val="en-US"/>
              </w:rPr>
            </w:pPr>
            <w:r w:rsidRPr="00676F59">
              <w:rPr>
                <w:lang w:val="en-US"/>
              </w:rPr>
              <w:t>Chevron, ConocoPhillips, Eni, ExxonM</w:t>
            </w:r>
            <w:r w:rsidRPr="00676F59">
              <w:rPr>
                <w:lang w:val="en-US"/>
              </w:rPr>
              <w:t>o</w:t>
            </w:r>
            <w:r w:rsidRPr="00676F59">
              <w:rPr>
                <w:lang w:val="en-US"/>
              </w:rPr>
              <w:t>bil, Shell, Total</w:t>
            </w:r>
          </w:p>
        </w:tc>
      </w:tr>
      <w:tr w:rsidR="00880768" w:rsidRPr="0083591C" w:rsidTr="003535A8">
        <w:trPr>
          <w:trHeight w:val="640"/>
        </w:trPr>
        <w:tc>
          <w:tcPr>
            <w:tcW w:w="7360" w:type="dxa"/>
          </w:tcPr>
          <w:p w:rsidR="00880768" w:rsidRDefault="00880768" w:rsidP="003535A8">
            <w:r>
              <w:t>Europeiske gass-/kraftselskap</w:t>
            </w:r>
          </w:p>
        </w:tc>
        <w:tc>
          <w:tcPr>
            <w:tcW w:w="1840" w:type="dxa"/>
          </w:tcPr>
          <w:p w:rsidR="00880768" w:rsidRPr="00676F59" w:rsidRDefault="00880768" w:rsidP="003535A8">
            <w:pPr>
              <w:jc w:val="right"/>
              <w:rPr>
                <w:lang w:val="en-US"/>
              </w:rPr>
            </w:pPr>
            <w:r w:rsidRPr="00676F59">
              <w:rPr>
                <w:lang w:val="en-US"/>
              </w:rPr>
              <w:t>DONG (no INEOS), Ed</w:t>
            </w:r>
            <w:r w:rsidRPr="00676F59">
              <w:rPr>
                <w:lang w:val="en-US"/>
              </w:rPr>
              <w:t>i</w:t>
            </w:r>
            <w:r w:rsidRPr="00676F59">
              <w:rPr>
                <w:lang w:val="en-US"/>
              </w:rPr>
              <w:t>son, Engie (no Neptune), PGNiG, Spirit Energy, VNG</w:t>
            </w:r>
          </w:p>
        </w:tc>
      </w:tr>
      <w:tr w:rsidR="00880768" w:rsidRPr="0083591C" w:rsidTr="003535A8">
        <w:trPr>
          <w:trHeight w:val="880"/>
        </w:trPr>
        <w:tc>
          <w:tcPr>
            <w:tcW w:w="7360" w:type="dxa"/>
          </w:tcPr>
          <w:p w:rsidR="00880768" w:rsidRDefault="00880768" w:rsidP="003535A8">
            <w:r>
              <w:t>Mellomstore selskap</w:t>
            </w:r>
          </w:p>
        </w:tc>
        <w:tc>
          <w:tcPr>
            <w:tcW w:w="1840" w:type="dxa"/>
          </w:tcPr>
          <w:p w:rsidR="00880768" w:rsidRPr="00676F59" w:rsidRDefault="00880768" w:rsidP="003535A8">
            <w:pPr>
              <w:jc w:val="right"/>
              <w:rPr>
                <w:lang w:val="en-US"/>
              </w:rPr>
            </w:pPr>
            <w:r w:rsidRPr="00676F59">
              <w:rPr>
                <w:lang w:val="en-US"/>
              </w:rPr>
              <w:t>Aker BP, Ca</w:t>
            </w:r>
            <w:r w:rsidRPr="00676F59">
              <w:rPr>
                <w:lang w:val="en-US"/>
              </w:rPr>
              <w:t>p</w:t>
            </w:r>
            <w:r w:rsidRPr="00676F59">
              <w:rPr>
                <w:lang w:val="en-US"/>
              </w:rPr>
              <w:t>ricorn, DEA, DNO, Idemitsu, Inpex, Kufpec, Lotos, Lukoil, Lundin, Maersk (no Total), MOL, OMV, Point Resources, Repsol, Suncor, Wintershall</w:t>
            </w:r>
          </w:p>
        </w:tc>
      </w:tr>
      <w:tr w:rsidR="00880768" w:rsidRPr="0083591C" w:rsidTr="003535A8">
        <w:trPr>
          <w:trHeight w:val="880"/>
        </w:trPr>
        <w:tc>
          <w:tcPr>
            <w:tcW w:w="7360" w:type="dxa"/>
          </w:tcPr>
          <w:p w:rsidR="00880768" w:rsidRDefault="00880768" w:rsidP="003535A8">
            <w:r>
              <w:t>Små selskap</w:t>
            </w:r>
          </w:p>
        </w:tc>
        <w:tc>
          <w:tcPr>
            <w:tcW w:w="1840" w:type="dxa"/>
          </w:tcPr>
          <w:p w:rsidR="00880768" w:rsidRPr="00676F59" w:rsidRDefault="00880768" w:rsidP="003535A8">
            <w:pPr>
              <w:jc w:val="right"/>
              <w:rPr>
                <w:lang w:val="en-US"/>
              </w:rPr>
            </w:pPr>
            <w:r w:rsidRPr="00676F59">
              <w:rPr>
                <w:lang w:val="en-US"/>
              </w:rPr>
              <w:t>CapeOmega, Concedo, Faroe, Fortis, Lime, M Vest, Okea, Pandion, P</w:t>
            </w:r>
            <w:r w:rsidRPr="00676F59">
              <w:rPr>
                <w:lang w:val="en-US"/>
              </w:rPr>
              <w:t>e</w:t>
            </w:r>
            <w:r w:rsidRPr="00676F59">
              <w:rPr>
                <w:lang w:val="en-US"/>
              </w:rPr>
              <w:t>trolia, Produ</w:t>
            </w:r>
            <w:r w:rsidRPr="00676F59">
              <w:rPr>
                <w:lang w:val="en-US"/>
              </w:rPr>
              <w:t>c</w:t>
            </w:r>
            <w:r w:rsidRPr="00676F59">
              <w:rPr>
                <w:lang w:val="en-US"/>
              </w:rPr>
              <w:lastRenderedPageBreak/>
              <w:t>tion Energy Company, Sk</w:t>
            </w:r>
            <w:r w:rsidRPr="00676F59">
              <w:rPr>
                <w:lang w:val="en-US"/>
              </w:rPr>
              <w:t>a</w:t>
            </w:r>
            <w:r w:rsidRPr="00676F59">
              <w:rPr>
                <w:lang w:val="en-US"/>
              </w:rPr>
              <w:t>gen44, Welle</w:t>
            </w:r>
            <w:r w:rsidRPr="00676F59">
              <w:rPr>
                <w:lang w:val="en-US"/>
              </w:rPr>
              <w:t>s</w:t>
            </w:r>
            <w:r w:rsidRPr="00676F59">
              <w:rPr>
                <w:lang w:val="en-US"/>
              </w:rPr>
              <w:t>ley</w:t>
            </w:r>
          </w:p>
        </w:tc>
      </w:tr>
    </w:tbl>
    <w:p w:rsidR="00880768" w:rsidRDefault="00880768">
      <w:pPr>
        <w:pStyle w:val="Ramme-slutt"/>
        <w:rPr>
          <w:sz w:val="26"/>
          <w:szCs w:val="26"/>
        </w:rPr>
      </w:pPr>
      <w:r>
        <w:rPr>
          <w:sz w:val="26"/>
          <w:szCs w:val="26"/>
        </w:rPr>
        <w:lastRenderedPageBreak/>
        <w:t>Rammeslutt</w:t>
      </w:r>
    </w:p>
    <w:p w:rsidR="00880768" w:rsidRDefault="00880768" w:rsidP="00880768">
      <w:pPr>
        <w:pStyle w:val="Overskrift3"/>
      </w:pPr>
      <w:r>
        <w:t>Aktørbildet i dei ulike fasane</w:t>
      </w:r>
    </w:p>
    <w:p w:rsidR="00880768" w:rsidRDefault="00880768" w:rsidP="00880768">
      <w:r>
        <w:t>Nye utvinningsløyve på norsk sokkel blir som hovudregel tildelt ei gruppe med selskap gjennom konsesjonsrundar. Ingen selskap kan drive petroleumsverksemd i Noreg utan eit utvinningsløyve frå styresmaktene. Talet på utvinningsløyve per selskapstype er eit uttrykk for aktørbildet i næringa. Utviklinga i denne storleiken illustrerer det auka mangfaldet over tid på norsk sokkel, der dei store norske og utanlandske aktørane er blitt supplerte med andre typar aktørar, jf. figur 11.2.</w:t>
      </w:r>
    </w:p>
    <w:p w:rsidR="00880768" w:rsidRDefault="005A2B4F" w:rsidP="005A2B4F">
      <w:pPr>
        <w:pStyle w:val="Figur"/>
      </w:pPr>
      <w:r>
        <w:t>[:figur:figX-X.jpg]</w:t>
      </w:r>
    </w:p>
    <w:p w:rsidR="00880768" w:rsidRDefault="00880768" w:rsidP="00880768">
      <w:pPr>
        <w:pStyle w:val="figur-tittel"/>
      </w:pPr>
      <w:r>
        <w:t>Talet på løyve fordelt på dei ulike selskapstypane i perioden 1995 til 2017</w:t>
      </w:r>
    </w:p>
    <w:p w:rsidR="00880768" w:rsidRDefault="00880768" w:rsidP="00880768">
      <w:r>
        <w:t>Talet på leitebrønnar seier noko om i kva grad selskapa deltek aktivt i leiteverksemda. På norsk kontinentalsokkel har det dei siste åra vore ei aktiv deltaking frå eit breitt spekter av oljeselskap i leiteboringar, jf. figur 11.3.</w:t>
      </w:r>
    </w:p>
    <w:p w:rsidR="00880768" w:rsidRDefault="00880768" w:rsidP="00880768">
      <w:r>
        <w:t xml:space="preserve">Leiteaktiviteten på norsk kontinentalsokkel i perioden 2008–2017 har tilført samfunnet betydelege verdiar. Oljedirektoratet har berekna verdiskapinga frå leiting i perioden til om lag 560 mrd. 2017-kroner, jf. Prop. 80 S (2017–2018). </w:t>
      </w:r>
    </w:p>
    <w:p w:rsidR="00880768" w:rsidRDefault="005A2B4F" w:rsidP="005A2B4F">
      <w:pPr>
        <w:pStyle w:val="Figur"/>
      </w:pPr>
      <w:r>
        <w:t>[:figur:figX-X.jpg]</w:t>
      </w:r>
    </w:p>
    <w:p w:rsidR="00880768" w:rsidRDefault="00880768" w:rsidP="00880768">
      <w:pPr>
        <w:pStyle w:val="figur-tittel"/>
      </w:pPr>
      <w:r>
        <w:t>Talet på undersøkingsbrønnar i perioden 2010 til 2017, fordelt på selskap</w:t>
      </w:r>
      <w:r>
        <w:t>s</w:t>
      </w:r>
      <w:r>
        <w:t>typar og rettshavar (Oljedirektoratet)</w:t>
      </w:r>
    </w:p>
    <w:p w:rsidR="00880768" w:rsidRDefault="00880768" w:rsidP="00880768">
      <w:r>
        <w:t>I perioden før 1990 dominerte store utanlandske selskap feltutbyggingar og feltdrift på norsk ko</w:t>
      </w:r>
      <w:r>
        <w:t>n</w:t>
      </w:r>
      <w:r>
        <w:t>tinentalsokkel. Etter kvart vart også Hydro og Statoil (no Equinor) viktige i utbyggings- og drift</w:t>
      </w:r>
      <w:r>
        <w:t>s</w:t>
      </w:r>
      <w:r>
        <w:t>fasen. På slutten av 1990-talet var det difor i all hovudsak dei store internasjonale selskapa og dei norske selskapa som var operatørar for felt i drift eller under utbygging.</w:t>
      </w:r>
    </w:p>
    <w:p w:rsidR="00880768" w:rsidRDefault="00880768" w:rsidP="00880768">
      <w:r>
        <w:t>Det auka talet aktørar på norsk sokkel frå midten av 2000-talet gav seg først utslag i ein auke i talet deltakarar i leiteaktiviteten. Det siste tiåret har mangfaldet også gjort seg gjeldande for operatø</w:t>
      </w:r>
      <w:r>
        <w:t>r</w:t>
      </w:r>
      <w:r>
        <w:t>skap for felt, jf. figur 11.4. Dette både fordi aktørar som starta med leting gjorde funn som skulle byggjast ut og fordi aktørar som del av sin etableringsprosess også har kjøpt deltakardelar, og fått samtykkje til overføring av operatørskap, også i løyve med felt og/eller funn. Selskap som Tali</w:t>
      </w:r>
      <w:r>
        <w:t>s</w:t>
      </w:r>
      <w:r>
        <w:t>man (no Repsol), Wintershall, Centrica (no Spirit), Dong (no Ineos) og Det norske (no Aker BP) har overteke som operatørar for felt. GdF (no Neptune) overtok operatørskapet for Gjøa etter at feltet var ferdig utbygd.</w:t>
      </w:r>
    </w:p>
    <w:p w:rsidR="00880768" w:rsidRDefault="00880768" w:rsidP="00880768">
      <w:r>
        <w:t>Mangfaldet blant operatørar for nye feltutbyggingar har òg auka betydeleg, jf. figur 11.5. Feltu</w:t>
      </w:r>
      <w:r>
        <w:t>t</w:t>
      </w:r>
      <w:r>
        <w:t>byggingane av Knarr, Ivar Aasen, Edvard Grieg, Maria, Dvalin, Oda, Yme og Fenja er alle leia av nye utbyggingsoperatørar på norsk kontinentalsokkel. Breidda er endå større dersom ein òg ser på kva selskap som deltek som partnarar i feltutbyggingar. I 2017 mottok departementet ti planar for utbygging og drift. Til saman 19 ulike selskap er rettshavarar i desse utbyggingane, jf. figur 11.6.</w:t>
      </w:r>
    </w:p>
    <w:p w:rsidR="00880768" w:rsidRDefault="00880768" w:rsidP="00880768">
      <w:r>
        <w:t xml:space="preserve">Mangfaldet av selskap er viktig for å utnytte alle dei forretningsmoglegheitene som finst på norsk sokkel. Dette er ei ønskt og positiv utvikling. Samtidig er eit fortsett aktivt og kompetent Equinor </w:t>
      </w:r>
      <w:r>
        <w:lastRenderedPageBreak/>
        <w:t>avgjerande for å nå måla i petroleumspolitikken. Ingen andre aktørar har den same breidda i ko</w:t>
      </w:r>
      <w:r>
        <w:t>m</w:t>
      </w:r>
      <w:r>
        <w:t>petanse og kunnskap om norsk sokkel som Equinor. At selskapet òg har vilje til å føre vidare lønnsam leiteaktivitet, feltutbygging og drift i Noreg er svært viktig. Selskapet har eit godt grun</w:t>
      </w:r>
      <w:r>
        <w:t>n</w:t>
      </w:r>
      <w:r>
        <w:t xml:space="preserve">lag for stordriftsfordelar, effektiv læringsoverføring mellom ulike felt og bidrag til utvikling av framtidige løysingar innan leiting, utbygging og drift. </w:t>
      </w:r>
    </w:p>
    <w:p w:rsidR="00880768" w:rsidRDefault="00880768" w:rsidP="00880768">
      <w:r>
        <w:t>Den breidda i aktørbildet som ein no har på norsk sokkel er eit positivt konkurranseelement og u</w:t>
      </w:r>
      <w:r>
        <w:t>t</w:t>
      </w:r>
      <w:r>
        <w:t xml:space="preserve">fordrar alle etablerte aktørar, inklusive Equinor, til å forbetre og fornye seg. </w:t>
      </w:r>
    </w:p>
    <w:p w:rsidR="00880768" w:rsidRDefault="005A2B4F" w:rsidP="005A2B4F">
      <w:pPr>
        <w:pStyle w:val="Figur"/>
      </w:pPr>
      <w:r>
        <w:t>[:figur:figX-X.jpg]</w:t>
      </w:r>
    </w:p>
    <w:p w:rsidR="00880768" w:rsidRDefault="00880768" w:rsidP="00880768">
      <w:pPr>
        <w:pStyle w:val="figur-tittel"/>
      </w:pPr>
      <w:r>
        <w:t>Tal på operatørar for felt på norsk sokkel (Oljedirektoratet)</w:t>
      </w:r>
    </w:p>
    <w:p w:rsidR="00880768" w:rsidRDefault="005A2B4F" w:rsidP="005A2B4F">
      <w:pPr>
        <w:pStyle w:val="Figur"/>
      </w:pPr>
      <w:r>
        <w:t>[:figur:figX-X.jpg]</w:t>
      </w:r>
    </w:p>
    <w:p w:rsidR="00880768" w:rsidRDefault="00880768" w:rsidP="00880768">
      <w:pPr>
        <w:pStyle w:val="figur-tittel"/>
      </w:pPr>
      <w:r>
        <w:t>Utviklinga i type operatørselskap for feltutbyggingar i fire periodar (2010–2018 inkluderer planlagte utbyggingar) (Oljedirektoratet)</w:t>
      </w:r>
    </w:p>
    <w:p w:rsidR="00880768" w:rsidRDefault="005A2B4F" w:rsidP="005A2B4F">
      <w:pPr>
        <w:pStyle w:val="Figur"/>
      </w:pPr>
      <w:r>
        <w:t>[:figur:figX-X.jpg]</w:t>
      </w:r>
    </w:p>
    <w:p w:rsidR="00880768" w:rsidRDefault="00880768" w:rsidP="00880768">
      <w:pPr>
        <w:pStyle w:val="figur-tittel"/>
      </w:pPr>
      <w:r>
        <w:t>Rettshavarar i utbyggingsplanar som vart leverte i 2017</w:t>
      </w:r>
    </w:p>
    <w:p w:rsidR="00880768" w:rsidRDefault="00880768" w:rsidP="00880768">
      <w:pPr>
        <w:pStyle w:val="Overskrift3"/>
      </w:pPr>
      <w:r>
        <w:t>Utviklingstrekk på oljeselskapssida</w:t>
      </w:r>
    </w:p>
    <w:p w:rsidR="00880768" w:rsidRDefault="00880768" w:rsidP="00880768">
      <w:r>
        <w:t xml:space="preserve">Petroleumsnæringa er syklisk og blir påverka både av dei generelle konjunktursvingingane og dei meir sektorspesifikke svingingane. Dette er reflektert </w:t>
      </w:r>
      <w:r>
        <w:rPr>
          <w:spacing w:val="2"/>
        </w:rPr>
        <w:t>òg</w:t>
      </w:r>
      <w:r>
        <w:t xml:space="preserve"> i samansetjinga av selskap på norsk so</w:t>
      </w:r>
      <w:r>
        <w:t>k</w:t>
      </w:r>
      <w:r>
        <w:t>kel. Grunna restruktureringane i næringa dei siste åra er talet på selskap færre enn for nokre år sidan. Fleire selskap har endra forretningsstrategien sin og det har vore ei rekkje fusjonar og op</w:t>
      </w:r>
      <w:r>
        <w:t>p</w:t>
      </w:r>
      <w:r>
        <w:t>kjøp. Samansetjinga av selskap er i dag framleis ein kombinasjon av erfarne og aktive store og mellomstore selskap, meir reindyrka leiteselskap og nyetableringar innan både leting og produ</w:t>
      </w:r>
      <w:r>
        <w:t>k</w:t>
      </w:r>
      <w:r>
        <w:t xml:space="preserve">sjon. Dagens aktørbilde gir eit godt grunnlag for lønnsam produksjon av olje og gass i eit langsiktig perspektiv. </w:t>
      </w:r>
    </w:p>
    <w:p w:rsidR="00880768" w:rsidRDefault="00880768" w:rsidP="00880768">
      <w:r>
        <w:t>Stigande kostnader, strengare fiskale vilkår i mange land og varierande leiteresultat førte til at mange oljeselskap starta ein gjennomgang av strategiane sine allereie før oljeprisfallet i 2014. Prisfallet var med på å forsterke desse prosessane. Felles for selskapa var ønsket om ei tilpassing av porteføljane for å skape ein kostnadsstruktur og kapitalintensitet som er betre tilpassa eit syklisk konjunkturforløp og lågare oljeprisar. Dei enkelte selskapa har tilpassa forretningsstrategien sin på ulike måtar som følgje av desse prosessane.</w:t>
      </w:r>
    </w:p>
    <w:p w:rsidR="00880768" w:rsidRDefault="00880768" w:rsidP="00880768">
      <w:r>
        <w:t>For dei fleste selskapa har denne prosessen medført porteføljejusteringar. Ei rekkje sal av eigedelar vart gjort for å få ned gjeldsgraden, og tiltak for å redusere kostnader i dei ulike delane av verd</w:t>
      </w:r>
      <w:r>
        <w:t>i</w:t>
      </w:r>
      <w:r>
        <w:t>kjeda. Dei nye moglegheitene innan skiferolje og -gass innanfor OECD-området har for fleire se</w:t>
      </w:r>
      <w:r>
        <w:t>l</w:t>
      </w:r>
      <w:r>
        <w:t>skap medført endringar i både geografisk portefølje og diversifisering av kva type olje- og gassre</w:t>
      </w:r>
      <w:r>
        <w:t>s</w:t>
      </w:r>
      <w:r>
        <w:t>sursar dei har i porteføljane. Nokre oljeselskap har rebalansert porteføljane sine slik at ferdiginve</w:t>
      </w:r>
      <w:r>
        <w:t>s</w:t>
      </w:r>
      <w:r>
        <w:t>terte konvensjonelle olje- og gassprosjekt gir ein stabil og meir langsiktig produksjon, mens ulike skiferprosjekt i første omgang gir grunnlag for produksjonsvekst. Nokre av dei største internasj</w:t>
      </w:r>
      <w:r>
        <w:t>o</w:t>
      </w:r>
      <w:r>
        <w:t xml:space="preserve">nale oljeselskapa har valt </w:t>
      </w:r>
      <w:proofErr w:type="gramStart"/>
      <w:r>
        <w:t>å</w:t>
      </w:r>
      <w:proofErr w:type="gramEnd"/>
      <w:r>
        <w:t xml:space="preserve"> selje sine gamle, eigenopererte felt i Noreg og i staden konsentrere verksemda si på norsk sokkel rundt eigardelar i eksisterande felt opererte av andre, og samtidig halde fram med leiteaktivitet.</w:t>
      </w:r>
    </w:p>
    <w:p w:rsidR="00880768" w:rsidRDefault="00880768" w:rsidP="00880768">
      <w:r>
        <w:t>Equinors betydelege rolle som operatør av eksisterande felt er i stor grad knytt til konsesjonspol</w:t>
      </w:r>
      <w:r>
        <w:t>i</w:t>
      </w:r>
      <w:r>
        <w:t xml:space="preserve">tikken som vart ført i ein tidleg fase på norsk sokkel. Dette var eit bevisst ønskje om </w:t>
      </w:r>
      <w:proofErr w:type="gramStart"/>
      <w:r>
        <w:t>å</w:t>
      </w:r>
      <w:proofErr w:type="gramEnd"/>
      <w:r>
        <w:t xml:space="preserve"> byggje eit </w:t>
      </w:r>
      <w:r>
        <w:lastRenderedPageBreak/>
        <w:t xml:space="preserve">sterkt norsk oljemiljø. Equinor har derfor ein sterk posisjon på norsk sokkel, både som rettshavar og som operatør. Denne posisjonen følgjer òg av fusjonen mellom Statoil og Norsk Hydro i 2007, og før det at Saga Petroleum vart overteke av Norsk Hydro og Statoil i 1999. </w:t>
      </w:r>
    </w:p>
    <w:p w:rsidR="00880768" w:rsidRDefault="00880768" w:rsidP="00880768">
      <w:r>
        <w:t>Over tid har Equinor utvikla en unik kompetanse og kunnskap både om norsk kontinentalsokkel og om leiting, utbygging og drift på norsk kontinentalsokkel. Ein del av feltutbygginga etter 2000 der Equinor er operatør, stammar frå konsesjonsrundar der selskapet har konkurrert mot andre aktørar om eigardelar og operatørskap. At Equinor i konkurranse med andre selskap har vunne fram i ko</w:t>
      </w:r>
      <w:r>
        <w:t>n</w:t>
      </w:r>
      <w:r>
        <w:t>kurransen om eit relativt stort tal tildelingar dei seinare åra er eit resultat av at selskapet har levert søknader av høg kvalitet på desse areala. Selskapet har òg eit godt grunnlag for stordriftsfordelar, effektiv læringsoverføring mellom ulike felt og er ein viktig bidragsytar til utvikling av framtidige løysingar innan leiting, utbygging og drift. Som betydeleg aktør med lang horisont på norsk sokkel har Equinor òg ei sterk eigeinteresse av å medverke til langsiktig konkurranse mellom leverandørar innan alle segment av næringa og ein berekraftig leverandørindustri. Som det framgår av Konku</w:t>
      </w:r>
      <w:r>
        <w:t>r</w:t>
      </w:r>
      <w:r>
        <w:t>ransetilsynets utredning «</w:t>
      </w:r>
      <w:r>
        <w:rPr>
          <w:rStyle w:val="kursiv"/>
          <w:sz w:val="21"/>
          <w:szCs w:val="21"/>
        </w:rPr>
        <w:t>Petroleumsnæringen og kjøpermakt</w:t>
      </w:r>
      <w:r>
        <w:t>» frå 2016, vil eit selskap med sterk kj</w:t>
      </w:r>
      <w:r>
        <w:t>ø</w:t>
      </w:r>
      <w:r>
        <w:t>permakt ha en eigeninteresse i at leverandørindustrien er konkurransedyktig og preget av et nø</w:t>
      </w:r>
      <w:r>
        <w:t>d</w:t>
      </w:r>
      <w:r>
        <w:t>vendig mangfald og innovasjon.</w:t>
      </w:r>
    </w:p>
    <w:p w:rsidR="00880768" w:rsidRDefault="00880768" w:rsidP="00880768">
      <w:r>
        <w:t>Ei gruppe med rettshavarar på norsk kontinentalsokkel er europeiske energiselskap. Denne gruppa omfattar selskap Bayerngas og Centrica (no Spirit), DONG (no Ineos), Edison, ENGIE (no Nept</w:t>
      </w:r>
      <w:r>
        <w:t>u</w:t>
      </w:r>
      <w:r>
        <w:t>ne), PGNiG og VNG. Fleire av dei europeiske gass- og kraftselskapa har gjennomført ei restrukt</w:t>
      </w:r>
      <w:r>
        <w:t>u</w:t>
      </w:r>
      <w:r>
        <w:t xml:space="preserve">rering av verksemda si og konsentrerer seg no meir om kjerneverksemda si i kraftproduksjon. Dette har blant anna vore drive av aukande bevisstheit om kor vidt eit kapitalkrevjande engasjement i oppstraumsdelen av olje- og gassverksemda er ein god strategi for eit kraftselskap som i stor grad er ei marginforretning. Svak inntening i kraftmarknaden har derfor tvunge fram sal av eigardelar utanfor kjerneverksemda for å finansiere nyinvesteringar i kraftsektoren. Nokre selskap har bevisst valt å reindyrke ei satsing på fornybar energi. Andre selskap som Centrica og Bayerngas har valt </w:t>
      </w:r>
      <w:proofErr w:type="gramStart"/>
      <w:r>
        <w:t>å</w:t>
      </w:r>
      <w:proofErr w:type="gramEnd"/>
      <w:r>
        <w:t xml:space="preserve"> foreine olje- og gassaktivitetane sine i Europa og Noreg i eit Joint Venture-selskap med ei overvekt av gassproduksjon for å redusere kostnader, styrkje innteninga og finansiere vidare utvikling gje</w:t>
      </w:r>
      <w:r>
        <w:t>n</w:t>
      </w:r>
      <w:r>
        <w:t xml:space="preserve">nom eigen kontantstraum. </w:t>
      </w:r>
    </w:p>
    <w:p w:rsidR="00880768" w:rsidRDefault="00880768" w:rsidP="00880768">
      <w:r>
        <w:t xml:space="preserve">Samla sett har dette ført til at nokre selskap har selt seg ut av aktivitet på norsk sokkel mens andre held fram med ein annan strategi. Tida kan derfor synast </w:t>
      </w:r>
      <w:proofErr w:type="gramStart"/>
      <w:r>
        <w:t>å</w:t>
      </w:r>
      <w:proofErr w:type="gramEnd"/>
      <w:r>
        <w:t xml:space="preserve"> vere over for dei forretningsmodellane der integrerte europeiske kraft-/gasselskap er aktive i leiting, utbygging og drift på norsk sokkel. Fleire av selskapa har fått nye eigarar og har blitt mellomstore, ofte frittståande, oljeselskap. </w:t>
      </w:r>
    </w:p>
    <w:p w:rsidR="00880768" w:rsidRDefault="00880768" w:rsidP="00880768">
      <w:r>
        <w:t>Fleire av dei aktørane som i dag er kategoriserte som mellomstore selskap har gradvis bygd seg opp frå ein posisjon som små selskap på norsk sokkel gjennom vellykka leiting, nye feltutbyggin</w:t>
      </w:r>
      <w:r>
        <w:t>g</w:t>
      </w:r>
      <w:r>
        <w:t>ar, fusjonar og oppkjøp. Som del av restrukturering i næringa dei seinare åra har fleire av dei me</w:t>
      </w:r>
      <w:r>
        <w:t>l</w:t>
      </w:r>
      <w:r>
        <w:t>lomstore selskapa komme styrkt ut. Det gjeld blant anna AkerBP, DEA, Ineos, Lundin, Neptune, OMV, Point Resources, Repsol, Spirit og Wintershall, som alle satsar aktivt på norsk sokkel. Dette er ein type selskap som blir viktige for å utvikle norsk sokkel vidare. Denne restruktureringa er ein kontinuerleg og dynamisk prosess der selskapa optimaliserer porteføljane sine på norsk sokkel. Departementet er òg kjent med og er blitt presentert for planane om ei samanslåing av Wintershall og DEA til eitt selskap, og ENI Noreg og Point Resources til Vår Energi. Neptune har kjøpt VNG.</w:t>
      </w:r>
    </w:p>
    <w:p w:rsidR="00880768" w:rsidRDefault="00880768" w:rsidP="00880768">
      <w:r>
        <w:t xml:space="preserve">Dei aktive, mellomstore selskapa på norsk sokkel medverkar til eit større mangfald i operatørskap og sunn konkurranse i alle fasar av verksemda. Fleire av desse selskapa har utvikla seg gjennom gode leteresultat eller aktiv forretningsutvikling. Vidare har desse aktørane halde fram med </w:t>
      </w:r>
      <w:proofErr w:type="gramStart"/>
      <w:r>
        <w:t>å</w:t>
      </w:r>
      <w:proofErr w:type="gramEnd"/>
      <w:r>
        <w:t xml:space="preserve"> vid</w:t>
      </w:r>
      <w:r>
        <w:t>a</w:t>
      </w:r>
      <w:r>
        <w:t>reutvikle etablerte kunnskapsmiljø, noko som òg medverkar til auka mangfald og konkurranse i alle delar av verksemda. Det er positivt at fleire selskap byggjer opp kompetanse til å gjennomføre utbyggingsprosjekt og drive felt i produksjon. Eit mangfald av operatørar i utbyggings- og driftsf</w:t>
      </w:r>
      <w:r>
        <w:t>a</w:t>
      </w:r>
      <w:r>
        <w:t>sen medverkar til at fleire selskap har kapasitet til å utvikle lønnsame ressursar. I tillegg vil fel</w:t>
      </w:r>
      <w:r>
        <w:t>t</w:t>
      </w:r>
      <w:r>
        <w:lastRenderedPageBreak/>
        <w:t>operatørane òg medverke til større samla kompetanse i utvinningsløyve der dei er partnarar. Samt</w:t>
      </w:r>
      <w:r>
        <w:t>i</w:t>
      </w:r>
      <w:r>
        <w:t>dig er det viktig med kritisk masse i operatøroppgåver for å få til effektiv drift og gjenbruk og u</w:t>
      </w:r>
      <w:r>
        <w:t>t</w:t>
      </w:r>
      <w:r>
        <w:t xml:space="preserve">vikle kompetansemiljøa vidare. Det er derfor ikkje eit mål å ha flest mogleg operatørar. </w:t>
      </w:r>
    </w:p>
    <w:p w:rsidR="00880768" w:rsidRDefault="00880768" w:rsidP="00880768">
      <w:r>
        <w:t xml:space="preserve">Forretningsmodellen til ei rekkje av dei mindre selskapa har vore </w:t>
      </w:r>
      <w:proofErr w:type="gramStart"/>
      <w:r>
        <w:t>å</w:t>
      </w:r>
      <w:proofErr w:type="gramEnd"/>
      <w:r>
        <w:t xml:space="preserve"> gjere funn og deretter selje til større oljeselskap. Etter oljeprisfallet i 2014 vart marknaden for denne typen transaksjonar svekt. Dette resulterte i ei rekkje konsolideringar og andre strategiske tilpassingar. Dei mindre selskapa har ulike forretningsmodellar og fleire ønskjer no å ha produksjon i porteføljen sin, men leiteakt</w:t>
      </w:r>
      <w:r>
        <w:t>i</w:t>
      </w:r>
      <w:r>
        <w:t xml:space="preserve">vitet er framleis dominerande. </w:t>
      </w:r>
    </w:p>
    <w:p w:rsidR="00880768" w:rsidRDefault="00880768" w:rsidP="00880768">
      <w:r>
        <w:t>Det er eit viktig bidrag til utforskinga av norsk sokkel at mange selskap med ulik kompetanse tek del i leiteaktiviteten.</w:t>
      </w:r>
    </w:p>
    <w:p w:rsidR="00880768" w:rsidRDefault="00880768" w:rsidP="00880768">
      <w:pPr>
        <w:pStyle w:val="Overskrift2"/>
      </w:pPr>
      <w:r>
        <w:t>Leverandørindustrien</w:t>
      </w:r>
    </w:p>
    <w:p w:rsidR="00880768" w:rsidRDefault="00880768" w:rsidP="00880768">
      <w:r>
        <w:t>Leverandørindustrien er i mange segmenter i stor grad global i sin natur, men i enkelte segmenter er lokalisering i nærleiken av den operative verksemda ekstra viktig. Oljeprisfallet i 2014 har hatt betyding for aktivitetsnivået i leverandørindustrien globalt. Oljeselskapa reduserte aktivitetsnivå og innkjøp betrakteleg, og ei rekkje planlagde prosjekt var sett på vent. Samtidig hadde mange av segmenta i leverandørindustrien overinvestert i kapasitet i dei føregåande åra. For å tilpasse seg eit lågare aktivitetsnivå på kort sikt reduserte leverandørindustrien derfor kapasitet og kostnader. Sa</w:t>
      </w:r>
      <w:r>
        <w:t>m</w:t>
      </w:r>
      <w:r>
        <w:t xml:space="preserve">tidig sette leverandørindustrien i verk ei rekkje tiltak saman med oljeselskapa for </w:t>
      </w:r>
      <w:proofErr w:type="gramStart"/>
      <w:r>
        <w:t>å</w:t>
      </w:r>
      <w:proofErr w:type="gramEnd"/>
      <w:r>
        <w:t xml:space="preserve"> halde konku</w:t>
      </w:r>
      <w:r>
        <w:t>r</w:t>
      </w:r>
      <w:r>
        <w:t xml:space="preserve">ranseevna ved lag på lengre sikt. </w:t>
      </w:r>
    </w:p>
    <w:p w:rsidR="00880768" w:rsidRDefault="00880768" w:rsidP="00880768">
      <w:r>
        <w:t>IHS Markit har estimert den samla direkte sysselsetjinga blant nokre av dei største selskapa i p</w:t>
      </w:r>
      <w:r>
        <w:t>e</w:t>
      </w:r>
      <w:r>
        <w:t xml:space="preserve">troleumsrelatert leverandørindustri globalt til i overkant av 600 000 </w:t>
      </w:r>
      <w:proofErr w:type="gramStart"/>
      <w:r>
        <w:t>sysselsette</w:t>
      </w:r>
      <w:proofErr w:type="gramEnd"/>
      <w:r>
        <w:t xml:space="preserve"> i 2016. Dette er om lag 30 prosent lågare enn i 2014 då nivået var over 800 000 </w:t>
      </w:r>
      <w:proofErr w:type="gramStart"/>
      <w:r>
        <w:t>sysselsette</w:t>
      </w:r>
      <w:proofErr w:type="gramEnd"/>
      <w:r>
        <w:t xml:space="preserve">. </w:t>
      </w:r>
    </w:p>
    <w:p w:rsidR="00880768" w:rsidRDefault="00880768" w:rsidP="00880768">
      <w:r>
        <w:t>Konsolidering og aukande grad av vertikal og horisontal integrering gjennom fusjonar, oppkjøp og alliansar er ein sentral trend, særleg blant større internasjonale aktørar, jf. figur 11.7. Målt i verdi vart 2016 eit toppår for fusjonar og oppkjøp i leverandørindustrien globalt</w:t>
      </w:r>
      <w:r>
        <w:rPr>
          <w:vertAlign w:val="superscript"/>
        </w:rPr>
        <w:footnoteReference w:id="7"/>
      </w:r>
      <w:r>
        <w:t>. Den høge aktiviteten heldt fram gjennom 2017</w:t>
      </w:r>
      <w:r>
        <w:rPr>
          <w:vertAlign w:val="superscript"/>
        </w:rPr>
        <w:footnoteReference w:id="8"/>
      </w:r>
      <w:r>
        <w:t xml:space="preserve">. Ved å samle kompetanse frå tilgrensande segment vil enkeltaktørar, eller ei fast gruppe samarbeidspartnarar, kunne dekkje ein større del av verdikjeda. Samtidig som større systemleverandørar utvider </w:t>
      </w:r>
      <w:proofErr w:type="gramStart"/>
      <w:r>
        <w:t>verdikjeda si</w:t>
      </w:r>
      <w:proofErr w:type="gramEnd"/>
      <w:r>
        <w:t>, reduserer fleire systemleverandørar talet på unde</w:t>
      </w:r>
      <w:r>
        <w:t>r</w:t>
      </w:r>
      <w:r>
        <w:t>leverandørar som blir nytta. Dette ser ein til dømes innan undervassegmentet, der leverandørar av brønntenester, produksjonsutstyr og installasjonstenester etablerer partnarskap for å levere meir integrerte produkt og tenester. Same tendens ser ein til dømes innan boretenester, vedlikehald og modifikasjonstenester, prosessutstyr, og offshorefartøy. På den eine sida kan dette medverke til meir integrerte produkt og realisering av stordriftsfordelar. På den andre sida kan auka marknad</w:t>
      </w:r>
      <w:r>
        <w:t>s</w:t>
      </w:r>
      <w:r>
        <w:t>konsentrasjon i delar av leverandørkjeda potensielt ha negative konsekvensar for konkurranse og innovasjon. Store hovudleverandørar vil samtidig vere avhengige av eit breitt spekter underlev</w:t>
      </w:r>
      <w:r>
        <w:t>e</w:t>
      </w:r>
      <w:r>
        <w:t xml:space="preserve">randørar for </w:t>
      </w:r>
      <w:proofErr w:type="gramStart"/>
      <w:r>
        <w:t>å</w:t>
      </w:r>
      <w:proofErr w:type="gramEnd"/>
      <w:r>
        <w:t xml:space="preserve"> vere i stand til å levere sine totalløysingar. I nokre leverandørsegment er det gje</w:t>
      </w:r>
      <w:r>
        <w:t>n</w:t>
      </w:r>
      <w:r>
        <w:t>nomgåande færre aktørar enn på rettshavar- og operatørsida.</w:t>
      </w:r>
    </w:p>
    <w:p w:rsidR="00880768" w:rsidRDefault="005A2B4F" w:rsidP="005A2B4F">
      <w:pPr>
        <w:pStyle w:val="Figur"/>
      </w:pPr>
      <w:r>
        <w:t>[:figur:figX-X.jpg]</w:t>
      </w:r>
    </w:p>
    <w:p w:rsidR="00880768" w:rsidRDefault="00880768" w:rsidP="00880768">
      <w:pPr>
        <w:pStyle w:val="figur-tittel"/>
      </w:pPr>
      <w:r>
        <w:t>Eksempel på restruktureringar blant leverandørselskapa (IHS Markit)</w:t>
      </w:r>
    </w:p>
    <w:p w:rsidR="00880768" w:rsidRDefault="00880768" w:rsidP="00880768">
      <w:pPr>
        <w:pStyle w:val="Overskrift3"/>
      </w:pPr>
      <w:r>
        <w:lastRenderedPageBreak/>
        <w:t>Norsk leverandørindustri</w:t>
      </w:r>
    </w:p>
    <w:p w:rsidR="00880768" w:rsidRDefault="00880768" w:rsidP="00880768">
      <w:r>
        <w:t xml:space="preserve">I alle </w:t>
      </w:r>
      <w:proofErr w:type="gramStart"/>
      <w:r>
        <w:t>fylke</w:t>
      </w:r>
      <w:proofErr w:type="gramEnd"/>
      <w:r>
        <w:t xml:space="preserve"> i landet skapar leverandørindustrien arbeidsplassar og lokal næringsutvikling. Sysse</w:t>
      </w:r>
      <w:r>
        <w:t>l</w:t>
      </w:r>
      <w:r>
        <w:t xml:space="preserve">setjinga har gått ned dei siste åra, men har stabilisert seg på eit fortsett høgt nivå. Fleire bedrifter aukar no talet på </w:t>
      </w:r>
      <w:proofErr w:type="gramStart"/>
      <w:r>
        <w:t>tilsette</w:t>
      </w:r>
      <w:proofErr w:type="gramEnd"/>
      <w:r>
        <w:t xml:space="preserve"> som følgje av nye kontraktar og lysare framtidsutsikter. Anslag frå Stati</w:t>
      </w:r>
      <w:r>
        <w:t>s</w:t>
      </w:r>
      <w:r>
        <w:t xml:space="preserve">tisk sentralbyrå (SSB) viser at talet på direkte og indirekte </w:t>
      </w:r>
      <w:proofErr w:type="gramStart"/>
      <w:r>
        <w:t>sysselsette</w:t>
      </w:r>
      <w:proofErr w:type="gramEnd"/>
      <w:r>
        <w:t xml:space="preserve"> i petroleumsnæringa var 170 200 i 2017, eller rundt 6,1 prosent av total sysselsetjing i Noreg</w:t>
      </w:r>
      <w:r>
        <w:rPr>
          <w:vertAlign w:val="superscript"/>
        </w:rPr>
        <w:footnoteReference w:id="9"/>
      </w:r>
      <w:r>
        <w:t>. Samfunns- og Næringslivsfor</w:t>
      </w:r>
      <w:r>
        <w:t>s</w:t>
      </w:r>
      <w:r>
        <w:t xml:space="preserve">king (SNF) berekna talet på arbeidsplassar direkte knytte til petroleumsretta verksemd åleine </w:t>
      </w:r>
      <w:proofErr w:type="gramStart"/>
      <w:r>
        <w:t>å</w:t>
      </w:r>
      <w:proofErr w:type="gramEnd"/>
      <w:r>
        <w:t xml:space="preserve"> vere om lag 111 300 i 2017. Av desse jobba rundt 25 000 i oljeselskap og 86 000 i leverandørind</w:t>
      </w:r>
      <w:r>
        <w:t>u</w:t>
      </w:r>
      <w:r>
        <w:t>strien</w:t>
      </w:r>
      <w:r>
        <w:rPr>
          <w:vertAlign w:val="superscript"/>
        </w:rPr>
        <w:footnoteReference w:id="10"/>
      </w:r>
      <w:r>
        <w:t>.</w:t>
      </w:r>
    </w:p>
    <w:p w:rsidR="00880768" w:rsidRDefault="00880768" w:rsidP="00880768">
      <w:r>
        <w:t>Sterke kunnskapsmiljø innan petroleumsverksemd finst over heile landet. Hovudtyngda er i Rog</w:t>
      </w:r>
      <w:r>
        <w:t>a</w:t>
      </w:r>
      <w:r>
        <w:t>land, der eit breitt spekter av leverandørbedrifter er etablert. I andre delar av landet har leverandø</w:t>
      </w:r>
      <w:r>
        <w:t>r</w:t>
      </w:r>
      <w:r>
        <w:t>bedriftene typisk etablert seg med basis i lokal spisskompetanse og etterspørsel. Sørlandet har verdsleiande selskap innan boreteknologi. Oslo og Akershus har veletablerte miljø innan unde</w:t>
      </w:r>
      <w:r>
        <w:t>r</w:t>
      </w:r>
      <w:r>
        <w:t>vassteknologi, ingeniørtenester, finans-, rådgivings- og juridiske tenester, og ein konsentrasjon av seismikkselskap. Nord-Vestlandet medverkar med ei maritim verksemd som representerer eit ko</w:t>
      </w:r>
      <w:r>
        <w:t>m</w:t>
      </w:r>
      <w:r>
        <w:t>plett skipsbygging- og skipsutstyrsnettverk for blant anna avanserte offshorefartøy. I Buskerud, særleg rundt Kongsberg, finn vi leiande miljø innan undervassteknologi, automasjon og dynamisk posisjonering. Bergensregionen er senter for vedlikehald av plattformer og subseautstyr, mens Trondheim har eit sterkt forskings- og utdanningsmiljø. I takt med at aktiviteten til havs har bevega seg nordover, har det utvikla seg kompetansebasar innan ei rekkje ulike segment i dei nordlegaste fylka, som ingeniørtenester, basefunksjonar, logistikk, konstruksjon og fabrikasjon, vedlikehald og modifikasjon, tryggleik og beredskap, og operasjonelle tenester.</w:t>
      </w:r>
    </w:p>
    <w:p w:rsidR="00880768" w:rsidRDefault="00880768" w:rsidP="00880768">
      <w:r>
        <w:t xml:space="preserve">Lokalt nærvær og nærleik til marknaden er ofte eit konkurransefortrinn. For utanlandske selskap gir lokalt nærvær i Noreg </w:t>
      </w:r>
      <w:proofErr w:type="gramStart"/>
      <w:r>
        <w:t>betre</w:t>
      </w:r>
      <w:proofErr w:type="gramEnd"/>
      <w:r>
        <w:t xml:space="preserve"> kunnskap om nasjonale forhold og tilgang på relevant kompetanse. Som ein av verdas største offshoremarknader med stabile rammevilkår og spisskompetanse på u</w:t>
      </w:r>
      <w:r>
        <w:t>t</w:t>
      </w:r>
      <w:r>
        <w:t>vikling av offshorerelatert teknologi, kan det derfor vere attraktivt for utanlandske selskap å eta</w:t>
      </w:r>
      <w:r>
        <w:t>b</w:t>
      </w:r>
      <w:r>
        <w:t>lere seg i Noreg. Dette medverkar både til sysselsetjing og verdiskaping lokalt, og auka konkurra</w:t>
      </w:r>
      <w:r>
        <w:t>n</w:t>
      </w:r>
      <w:r>
        <w:t>se i heimemarknaden. Fordelane med nærleik til marknaden ser ein òg ved at norske leverandørb</w:t>
      </w:r>
      <w:r>
        <w:t>e</w:t>
      </w:r>
      <w:r>
        <w:t>drifter etablerer salskontor og produksjonsanlegg i viktige utanlandsmarknader. Vidare kan det vere nyttig for norske leverandørbedrifter å jobbe med internasjonale selskap i Noreg, sidan rel</w:t>
      </w:r>
      <w:r>
        <w:t>a</w:t>
      </w:r>
      <w:r>
        <w:t xml:space="preserve">sjonar og kjennskap til internasjonale </w:t>
      </w:r>
      <w:proofErr w:type="gramStart"/>
      <w:r>
        <w:t>selskap</w:t>
      </w:r>
      <w:proofErr w:type="gramEnd"/>
      <w:r>
        <w:t xml:space="preserve"> sine innkjøpsprosedyrar kan auke sjansen for å vinne kontraktar med dei same selskapa til prosjekt i utlandet.</w:t>
      </w:r>
    </w:p>
    <w:p w:rsidR="00880768" w:rsidRDefault="00880768" w:rsidP="00880768">
      <w:r>
        <w:t>Leverandørindustrien har i lang tid vore ein kunnskapsbase som mange andre næringar i Noreg har hatt nytte av. Utforsking og utvinning av olje- og gassressursar til havs krev solid kunnskap, ava</w:t>
      </w:r>
      <w:r>
        <w:t>n</w:t>
      </w:r>
      <w:r>
        <w:t>sert teknologi og hardt arbeid. Forskarane Bjørnland, Thorsrud og Torvik</w:t>
      </w:r>
      <w:r>
        <w:rPr>
          <w:vertAlign w:val="superscript"/>
        </w:rPr>
        <w:footnoteReference w:id="11"/>
      </w:r>
      <w:r>
        <w:t xml:space="preserve"> påpeiker at ressursin</w:t>
      </w:r>
      <w:r>
        <w:t>n</w:t>
      </w:r>
      <w:r>
        <w:t>satsen i utforsking og utvinning av petroleum gir positive læringseffektar ikkje berre mellom lev</w:t>
      </w:r>
      <w:r>
        <w:t>e</w:t>
      </w:r>
      <w:r>
        <w:t>randørbedrifter, men også mellom bedrifter i petroleumsnæringa og andre delar av økonomien. Dei viser at petroleumsnæringa har medverka til auka produktivitet og produksjon ikkje berre i trad</w:t>
      </w:r>
      <w:r>
        <w:t>i</w:t>
      </w:r>
      <w:r>
        <w:t>sjonell konkurranseutsett fastlandsøkonomi, men òg i skjerma sektor.</w:t>
      </w:r>
    </w:p>
    <w:p w:rsidR="00880768" w:rsidRDefault="00880768" w:rsidP="00880768">
      <w:r>
        <w:t>Denne kunnskaps- og teknologioverføringa og dei breie læringsprosessane leier til at leverandø</w:t>
      </w:r>
      <w:r>
        <w:t>r</w:t>
      </w:r>
      <w:r>
        <w:t>industrien blir ein vekstmotor og ei kjelde til inntektsgenerering i heile økonomien. Det er grunn til å tru at desse læringsprosessane finn stad i utdanningssektoren, forskingsinstitusjonane og næring</w:t>
      </w:r>
      <w:r>
        <w:t>s</w:t>
      </w:r>
      <w:r>
        <w:t xml:space="preserve">livet, og gir inspirasjon til innovasjon som følgje av brei offentleg merksemd. Slike prosessar finn stad både jamt over tid og ved plutselege sjokk i petroleumsaktiviteten. Dei vil stoppe opp, men </w:t>
      </w:r>
      <w:r>
        <w:lastRenderedPageBreak/>
        <w:t>blir ikkje reverserte dersom impulsane frå petroleumsaktiviteten stoppar opp. Slik sett medverkar samspelet mellom leverandørnæringa og den tradisjonelle konkurranseutsette fastlandsindustrien til ein breiare, meir robust og kunnskapsrik næringsstruktur.</w:t>
      </w:r>
    </w:p>
    <w:p w:rsidR="00880768" w:rsidRDefault="00880768" w:rsidP="00880768">
      <w:r>
        <w:t xml:space="preserve">Den norske leverandørindustrien består av meir enn 1100 selskap som heilt eller delvis leverer til petroleumsverksemda. Denne etterspørselen frå aktiviteten på sokkelen gir store ringverknader på fastlandet. I 2016 </w:t>
      </w:r>
      <w:proofErr w:type="gramStart"/>
      <w:r>
        <w:t>omsette</w:t>
      </w:r>
      <w:proofErr w:type="gramEnd"/>
      <w:r>
        <w:t xml:space="preserve"> leverandørindustrien for totalt 378 mrd. 2016-kroner. I mange lokalsa</w:t>
      </w:r>
      <w:r>
        <w:t>m</w:t>
      </w:r>
      <w:r>
        <w:t>funn langs heile kysten er ein svært stor del av befolkninga tilsette i eller har tilknyting til levera</w:t>
      </w:r>
      <w:r>
        <w:t>n</w:t>
      </w:r>
      <w:r>
        <w:t xml:space="preserve">dørindustrien. Aktiviteten og verdiskapinga i næringa er avhengig av at heimemarknaden består. Særleg viktig er det for aktørar innan nye utbyggingar at det regelmessig blir gjort nye større funn som kan byggjast ut. For </w:t>
      </w:r>
      <w:proofErr w:type="gramStart"/>
      <w:r>
        <w:t>å</w:t>
      </w:r>
      <w:proofErr w:type="gramEnd"/>
      <w:r>
        <w:t xml:space="preserve"> leggje best til rette for det må næringa få tilgang til nye lovande leit</w:t>
      </w:r>
      <w:r>
        <w:t>e</w:t>
      </w:r>
      <w:r>
        <w:t>område. Høvet til å gjøre nye, større funn er størst i område som ikkje er utforska i tiår allereie.</w:t>
      </w:r>
    </w:p>
    <w:p w:rsidR="00880768" w:rsidRDefault="00880768" w:rsidP="00880768">
      <w:r>
        <w:t>Den norskbaserte leverandørindustrien er i all hovudsak innretta mot oljeverksemd til havs som følgje av at alle våre norske ressursar er offshore. Dei aller fleste selskapa har norsk sokkel som sin viktigaste marknad. Samtidig leverte over 300 av selskapa varer og tenester til internasjonale marknader i 2016</w:t>
      </w:r>
      <w:r>
        <w:rPr>
          <w:vertAlign w:val="superscript"/>
        </w:rPr>
        <w:footnoteReference w:id="12"/>
      </w:r>
      <w:r>
        <w:t>. Det er ein nær samanheng mellom talet på arbeidsplassar på land og aktivit</w:t>
      </w:r>
      <w:r>
        <w:t>e</w:t>
      </w:r>
      <w:r>
        <w:t xml:space="preserve">ten til havs. Samtidig konkurrerer mange norskbaserte bedrifter i ein globalt marknad – både når det gjeld leveransar til norsk sokkel og til andre land. </w:t>
      </w:r>
    </w:p>
    <w:p w:rsidR="00880768" w:rsidRDefault="00880768" w:rsidP="00880768">
      <w:r>
        <w:t>I 2016 var det berre Brasil og USA som utgjorde større offshoremarknader (for innkjøp) enn N</w:t>
      </w:r>
      <w:r>
        <w:t>o</w:t>
      </w:r>
      <w:r>
        <w:t>reg. I Brasil var innkjøpa på om lag 29 mrd. USD, noko som utgjorde 12 prosent av verdas offsh</w:t>
      </w:r>
      <w:r>
        <w:t>o</w:t>
      </w:r>
      <w:r>
        <w:t xml:space="preserve">remarknad. I USA og Noreg var innkjøpa på høvesvis 23 og 20 mrd. USD. Noreg representerte om lag 8 prosent av den totale offshoremarknaden. </w:t>
      </w:r>
    </w:p>
    <w:p w:rsidR="00880768" w:rsidRDefault="00880768" w:rsidP="00880768">
      <w:pPr>
        <w:pStyle w:val="Overskrift3"/>
      </w:pPr>
      <w:r>
        <w:t>Etterspørselen retta mot leverandørar frå norsk sokkel</w:t>
      </w:r>
    </w:p>
    <w:p w:rsidR="00880768" w:rsidRDefault="00880768" w:rsidP="00880768">
      <w:r>
        <w:t>Norsk leverandørindustri har historisk vunne konkurransen om ein stor del av kontraktane knytte til utbygging og drift av felt på norsk kontinentalsokkel. Aktiviteten på norsk sokkel er den viktigaste marknaden for dei fleste segmenter av norsk leverandørindustri. Difor er omfanget av leting, u</w:t>
      </w:r>
      <w:r>
        <w:t>t</w:t>
      </w:r>
      <w:r>
        <w:t>bygging og drift på norsk kontinentalsokkel viktig for aktiviteten og sysselsettinga i leverandøri</w:t>
      </w:r>
      <w:r>
        <w:t>n</w:t>
      </w:r>
      <w:r>
        <w:t>dustrien framover.</w:t>
      </w:r>
    </w:p>
    <w:p w:rsidR="00880768" w:rsidRDefault="00880768" w:rsidP="00880768">
      <w:r>
        <w:t>Viktige avgjerder i eit interessentskapa på norsk kontinentalsokkel – som ei feltutbygging, takast ikkje av operatøren men av rettshavarane i fellesskap. Rettshavar skal sjå til at verksemda kan u</w:t>
      </w:r>
      <w:r>
        <w:t>t</w:t>
      </w:r>
      <w:r>
        <w:t>øvast på forsvarleg måte i samsvar med gjeldande lovgiving og som tek vare på omsynet til god ressursforvaltning, helse, miljø og tryggleik, og at operatøren held seg til desse forpliktingane. Denne «sjå til»-plikta er ein sentral del av kvalitetssikringa av aktiviteten på norsk sokkel.</w:t>
      </w:r>
    </w:p>
    <w:p w:rsidR="00880768" w:rsidRDefault="00880768" w:rsidP="00880768">
      <w:r>
        <w:t>Rettshavar i eit utvinningsløyve har innverknad og vil kunne sjå til at val av leverandørar til feltu</w:t>
      </w:r>
      <w:r>
        <w:t>t</w:t>
      </w:r>
      <w:r>
        <w:t xml:space="preserve">bygging og drift skjer på mest kostnadseffektive måte ved konkurranse mellom ulike tilbydarar. Normalt vil ei avgjerd som krev eit vedtak i styringskomiteen i eit interessentskap fattast når eit fleirtal av rettshavarane stemmer for, og desse rettshavarane sine samla deltakerinteresser òg utgjer eit fleirtal i utvinningsløyvet. Dette vil seie at der det er tre eller fleire selskap som deltek, vil det vere eit svært avgrensa høve for eit enkeltselskap til å trenere framdrift i eit utvinningsløyve, eller for den del framskunde avgjerder dei andre rettshavarane ikkje ønskjer. </w:t>
      </w:r>
      <w:proofErr w:type="gramStart"/>
      <w:r>
        <w:t>Det</w:t>
      </w:r>
      <w:proofErr w:type="gramEnd"/>
      <w:r>
        <w:t xml:space="preserve"> same gjeld innkjøp</w:t>
      </w:r>
      <w:r>
        <w:t>s</w:t>
      </w:r>
      <w:r>
        <w:t xml:space="preserve">strategi der det er interessentskapet i seg, og ikkje operatøren på sjølvstendig grunnlag, som går til anskaffing av leverandørtenester. Stemmereglane blir </w:t>
      </w:r>
      <w:proofErr w:type="gramStart"/>
      <w:r>
        <w:t>fastsette</w:t>
      </w:r>
      <w:proofErr w:type="gramEnd"/>
      <w:r>
        <w:t xml:space="preserve"> av departementet ved tildeling av eit utvinningsløyve. Dersom rettshavarane på eit seinare tidspunkt ønskjer å endre stemmereglane, krev </w:t>
      </w:r>
      <w:proofErr w:type="gramStart"/>
      <w:r>
        <w:t>dette</w:t>
      </w:r>
      <w:proofErr w:type="gramEnd"/>
      <w:r>
        <w:t xml:space="preserve"> godkjenning av styresmaktene. </w:t>
      </w:r>
    </w:p>
    <w:p w:rsidR="00880768" w:rsidRDefault="00880768" w:rsidP="00880768">
      <w:r>
        <w:lastRenderedPageBreak/>
        <w:t>Den samla etterspørselen frå petroleumsverksemda på norsk kontinentalsokkel var i 2017 på 213 mrd. 2019-kroner. Av dette bestod rundt 60 prosent av investeringar, 25 prosent driftskos</w:t>
      </w:r>
      <w:r>
        <w:t>t</w:t>
      </w:r>
      <w:r>
        <w:t xml:space="preserve">nader, mens leitekostnader utgjorde rundt 10 prosent. </w:t>
      </w:r>
    </w:p>
    <w:p w:rsidR="00880768" w:rsidRDefault="005A2B4F" w:rsidP="005A2B4F">
      <w:pPr>
        <w:pStyle w:val="Figur"/>
      </w:pPr>
      <w:r>
        <w:t>[:figur:figX-X.jpg]</w:t>
      </w:r>
    </w:p>
    <w:p w:rsidR="00880768" w:rsidRDefault="00880768" w:rsidP="00880768">
      <w:pPr>
        <w:pStyle w:val="figur-tittel"/>
      </w:pPr>
      <w:r>
        <w:t>Samla kostnader og investeringar (tal for 2017, Oljedirektoratet)</w:t>
      </w:r>
    </w:p>
    <w:p w:rsidR="00880768" w:rsidRDefault="00880768" w:rsidP="00880768">
      <w:r>
        <w:t>Denne samla etterspørselen frå petroleumsverksemda inkluderer etterspørsel frå drift av meir enn 80 felt i produksjon, utbyggingar av nye felt, leiting, nedstenging og sluttdisponering. Etter ein periode med omfattande tilpassingar, både i aktivitets- og kostnadsnivå til lågare olje- og gas</w:t>
      </w:r>
      <w:r>
        <w:t>s</w:t>
      </w:r>
      <w:r>
        <w:t>prisar, er det venta eit relativt stabilt aktivitetsnivå dei næraste åra. Det samla anslaget for kostn</w:t>
      </w:r>
      <w:r>
        <w:t>a</w:t>
      </w:r>
      <w:r>
        <w:t>der og investering er venta å auke frå 2018 til 2020, før det minskar noko i åra etter. Dette er ein marknad der norskbaserte leverandørar samla sett har stor marknadsdel. Dette vil gi aktivitet i dei ulike regionale klyngene beskrivne i tidligare i dette kapitlet.</w:t>
      </w:r>
    </w:p>
    <w:p w:rsidR="00880768" w:rsidRDefault="00880768" w:rsidP="00880768">
      <w:pPr>
        <w:pStyle w:val="tittel-ramme"/>
      </w:pPr>
      <w:r>
        <w:t>Samla kostnader og investeringar i 2017</w:t>
      </w:r>
    </w:p>
    <w:p w:rsidR="00880768" w:rsidRDefault="00880768" w:rsidP="00880768">
      <w:r>
        <w:t xml:space="preserve">For 2017 var </w:t>
      </w:r>
      <w:r>
        <w:rPr>
          <w:rStyle w:val="kursiv"/>
          <w:sz w:val="21"/>
          <w:szCs w:val="21"/>
        </w:rPr>
        <w:t>investeringar</w:t>
      </w:r>
      <w:r>
        <w:t xml:space="preserve">, eksklusive leiteverksemd, på om lag 125 mrd. kroner. I løpet av 2017 var fem nye felt </w:t>
      </w:r>
      <w:proofErr w:type="gramStart"/>
      <w:r>
        <w:t>sette</w:t>
      </w:r>
      <w:proofErr w:type="gramEnd"/>
      <w:r>
        <w:t xml:space="preserve"> i produksjon: Flyndre, Gina Krog, Maria, Sindre og Byrding. Ni felt var under utbygging ved årsskiftet. Det vart levert ti utbyggingsplanar til styresmaktene i løpet av 2017. Dette vil gi betydeleg aktivitet for leverandørindustrien i åra som kjem, og er </w:t>
      </w:r>
      <w:proofErr w:type="gramStart"/>
      <w:r>
        <w:t>beskrive</w:t>
      </w:r>
      <w:proofErr w:type="gramEnd"/>
      <w:r>
        <w:t xml:space="preserve"> nærare i kapittel 11.2.3. </w:t>
      </w:r>
    </w:p>
    <w:p w:rsidR="00880768" w:rsidRDefault="00880768" w:rsidP="00880768">
      <w:r>
        <w:t>Ein viktig grunn til at det no blir teke nye investeringsavgjerder er dei effektiviseringstiltaka petr</w:t>
      </w:r>
      <w:r>
        <w:t>o</w:t>
      </w:r>
      <w:r>
        <w:t>leumsnæringa har sett i verk dei siste åra for å redusere kostnadsnivået. Oljedirektoratet (OD) samanlikna i sin ressursrapport for 2017 operatørselskapa sine anslag for investeringskostnader i sju ulike utbyggingsprosjekt.</w:t>
      </w:r>
      <w:r>
        <w:rPr>
          <w:rStyle w:val="skrift-hevet"/>
          <w:sz w:val="21"/>
          <w:szCs w:val="21"/>
        </w:rPr>
        <w:t>1</w:t>
      </w:r>
      <w:r>
        <w:t xml:space="preserve"> I 2014 var operatørselskapa sine anslag over samla investeringar for desse prosjekta i underkant av 220 mrd. 2016-kroner. Hausten 2016 var dette redusert til 110 mrd., altså ei halvering av det opphavlege anslaget. For dei sju </w:t>
      </w:r>
      <w:proofErr w:type="gramStart"/>
      <w:r>
        <w:t>prosjekta</w:t>
      </w:r>
      <w:proofErr w:type="gramEnd"/>
      <w:r>
        <w:t xml:space="preserve"> som er undersøkte i ODs re</w:t>
      </w:r>
      <w:r>
        <w:t>s</w:t>
      </w:r>
      <w:r>
        <w:t>sursrapport er balanseprisen redusert til under 40 USD per fat oljeekvivalentar, for nokre under 30. For enkelte prosjekt inneber dette meir enn ei halvering av prosjektets balansepris. Dette betyr at desse prosjekta kan tole oljeprisar på dette nivået og samtidig gi ei normalavkastning på invest</w:t>
      </w:r>
      <w:r>
        <w:t>e</w:t>
      </w:r>
      <w:r>
        <w:t xml:space="preserve">ringane. Dette er svært viktig for </w:t>
      </w:r>
      <w:proofErr w:type="gramStart"/>
      <w:r>
        <w:t>å</w:t>
      </w:r>
      <w:proofErr w:type="gramEnd"/>
      <w:r>
        <w:t xml:space="preserve"> halde ved lag lønnsemd og aktivitet i Noreg over tid. Samtidig er det viktig for staten sine inntekter over tid og for norsk leverandørindustri at alle – ikke berre dei aller mest – lønnsame delane av vår ressursbase blir realiserte.</w:t>
      </w:r>
    </w:p>
    <w:p w:rsidR="00880768" w:rsidRDefault="00880768" w:rsidP="00880768">
      <w:r>
        <w:t>Vedlikehald av plattformer og brønnar, og utgifter til dagleg drift av innretningar, utgjer hovu</w:t>
      </w:r>
      <w:r>
        <w:t>d</w:t>
      </w:r>
      <w:r>
        <w:t xml:space="preserve">storleikane i </w:t>
      </w:r>
      <w:r>
        <w:rPr>
          <w:rStyle w:val="kursiv"/>
          <w:sz w:val="21"/>
          <w:szCs w:val="21"/>
        </w:rPr>
        <w:t>driftskostnadene</w:t>
      </w:r>
      <w:r>
        <w:t xml:space="preserve"> på norsk sokkel. Dette inkluderer òg lønnskostnader knytte til dei a</w:t>
      </w:r>
      <w:r>
        <w:t>r</w:t>
      </w:r>
      <w:r>
        <w:t>beidarane som dagleg utfører vedlikehald på maskiner og anna utstyr. Dette kontinuerlege arbeidet er viktig for å unngå kostbar stans i produksjon. Ved utgangen av 2017 utgjorde samla driftskos</w:t>
      </w:r>
      <w:r>
        <w:t>t</w:t>
      </w:r>
      <w:r>
        <w:t xml:space="preserve">nader om lag 54 mrd. 2019-kroner. </w:t>
      </w:r>
    </w:p>
    <w:p w:rsidR="00880768" w:rsidRDefault="00880768" w:rsidP="00880768">
      <w:r>
        <w:t xml:space="preserve">For 2017 utgjorde </w:t>
      </w:r>
      <w:r>
        <w:rPr>
          <w:rStyle w:val="kursiv"/>
          <w:sz w:val="21"/>
          <w:szCs w:val="21"/>
        </w:rPr>
        <w:t>leitekostnadene</w:t>
      </w:r>
      <w:r>
        <w:t xml:space="preserve"> på norsk sokkel om lag 20 mrd. kroner. Det vart begynt å bore totalt 36 leitebrønnar, av dette var 24 undersøkingsbrønnar og 12 var avgrensingsbrønnar. Leit</w:t>
      </w:r>
      <w:r>
        <w:t>e</w:t>
      </w:r>
      <w:r>
        <w:t>kostnadene er betydeleg reduserte dei siste åra. Reduksjonen i leitekostnader er ein konsekvens av færre leitebrønnar, men òg auka boreeffektivitet og lågare marknadsprisar, i første rekkje innan rigg.</w:t>
      </w:r>
    </w:p>
    <w:p w:rsidR="00880768" w:rsidRDefault="00880768" w:rsidP="00880768">
      <w:pPr>
        <w:pStyle w:val="ramme-noter"/>
      </w:pPr>
      <w:r>
        <w:rPr>
          <w:rStyle w:val="skrift-hevet"/>
          <w:sz w:val="17"/>
          <w:szCs w:val="17"/>
        </w:rPr>
        <w:t>1</w:t>
      </w:r>
      <w:r>
        <w:tab/>
        <w:t>Johan Sverdrup byggetrinn II, Johan Castberg, Utgard, Oda, Trestakk, Dvalin og Bauge.</w:t>
      </w:r>
    </w:p>
    <w:p w:rsidR="00880768" w:rsidRDefault="00880768">
      <w:pPr>
        <w:pStyle w:val="Ramme-slutt"/>
        <w:rPr>
          <w:sz w:val="26"/>
          <w:szCs w:val="26"/>
        </w:rPr>
      </w:pPr>
      <w:r>
        <w:rPr>
          <w:sz w:val="26"/>
          <w:szCs w:val="26"/>
        </w:rPr>
        <w:t>Rammeslutt</w:t>
      </w:r>
    </w:p>
    <w:p w:rsidR="00880768" w:rsidRDefault="005A2B4F" w:rsidP="005A2B4F">
      <w:pPr>
        <w:pStyle w:val="Figur"/>
      </w:pPr>
      <w:r>
        <w:t>[:figur:figX-X.jpg]</w:t>
      </w:r>
    </w:p>
    <w:p w:rsidR="00880768" w:rsidRDefault="00880768" w:rsidP="00880768">
      <w:pPr>
        <w:pStyle w:val="figur-tittel"/>
      </w:pPr>
      <w:r>
        <w:lastRenderedPageBreak/>
        <w:t>Totale kostnader og investeringar delt på kategori, mrd. faste 2019-kroner (Oljedirektoratet)</w:t>
      </w:r>
    </w:p>
    <w:p w:rsidR="00880768" w:rsidRDefault="00880768" w:rsidP="00880768">
      <w:r>
        <w:t>Investeringar omfattar nye utvinningsbrønnar, bygging av nye innretningar, røyr, landanlegg og modifikasjonar på eksisterande innretningar. Investeringane er knytte både til aktivitet på felt som er i drift og til nye feltutbyggingar. Investeringane for 2017 og 2018 er anslått til høvesvis 125 og 128 mrd. 2019-kroner. I dei neste åra er det venta ein gradvis auke fram mot 2020 til rundt 140 mrd. kroner, før investeringsnivået minskar til 120–125 mrd. kroner i 2021–22.</w:t>
      </w:r>
    </w:p>
    <w:p w:rsidR="00880768" w:rsidRDefault="00880768" w:rsidP="00880768">
      <w:r>
        <w:t xml:space="preserve">I nær framtid er mesteparten av investeringane knytte til felt i drifts- og utbyggingsfasen. I 2017 fatta ulike rettshavargrupper investeringsbeslutning, </w:t>
      </w:r>
      <w:proofErr w:type="gramStart"/>
      <w:r>
        <w:t>og</w:t>
      </w:r>
      <w:proofErr w:type="gramEnd"/>
      <w:r>
        <w:t xml:space="preserve"> sende inn utbyggingsplan til styresmaktene for godkjenning, for ei rekkje nye utbyggingsprosjekt på norsk sokkel. Desse vil utgjere ein viktig del av heimemarknaden for sentrale delar av leverandørindustrien i åra som kjem. Til saman ti pr</w:t>
      </w:r>
      <w:r>
        <w:t>o</w:t>
      </w:r>
      <w:r>
        <w:t>sjekt leverte planar for utbygging og drift (PUD), til ein samla investeringsverdi på over 120 mrd. kroner. Investeringane i petroleumsnæringa gir store ringverknader for heile landet og har stor b</w:t>
      </w:r>
      <w:r>
        <w:t>e</w:t>
      </w:r>
      <w:r>
        <w:t>tydning for norsk økonomi. Dei ti utbyggingane som det vart levert utbyggingsplan for i 2017 er i utbyggingsfasen anslått å gi grunnlag for nesten 110 000 årsverk i Noreg fordelt over fleire år. Oppdrag knytt til desse utbyggingane er viktig for mange bedrifter rundt i landet, under dette i dei delane av landet som vart hardast ramma etter oljeprisfallet i 2014. Oppdrag knytte til desse ti nye utbyggingane kjem i tillegg til oppdrag knytte til allereie pågåande utbyggingar, og ytterlegare i</w:t>
      </w:r>
      <w:r>
        <w:t>n</w:t>
      </w:r>
      <w:r>
        <w:t>vesteringar og tiltak på eksisterande felt.</w:t>
      </w:r>
    </w:p>
    <w:p w:rsidR="00880768" w:rsidRDefault="00880768" w:rsidP="00880768">
      <w:r>
        <w:t xml:space="preserve">Dei ti </w:t>
      </w:r>
      <w:proofErr w:type="gramStart"/>
      <w:r>
        <w:t>prosjekta</w:t>
      </w:r>
      <w:proofErr w:type="gramEnd"/>
      <w:r>
        <w:t xml:space="preserve"> Olje- og energidepartementet mottok i 2017 var: Bauge, Njord, Ekofisk 2/4 VC, Snorre videreutvikling, Johan Castberg, Valhall flanke vest, Fenja, Ærfugl, Yme og Skogul, jf. Prop. 80 S (2017–2018). I 2016 vart fem planar for utbygging og drift levert inn til styresmaktene. Desse var Byrding, Dvalin, Oda, Trestakk og Utgard. Alle er godkjende og er anten sett i produ</w:t>
      </w:r>
      <w:r>
        <w:t>k</w:t>
      </w:r>
      <w:r>
        <w:t xml:space="preserve">sjon eller under utbygging. </w:t>
      </w:r>
    </w:p>
    <w:p w:rsidR="00880768" w:rsidRDefault="00880768" w:rsidP="00880768">
      <w:r>
        <w:t>Per 1. september 2018 har styresmaktene motteke utbyggingsplanar på tre prosjekt – Nova, Johan Sverdrup byggetrinn to og Troll fase tre – som har eit samla investeringsanslag på om lag 60 mrd. kroner.</w:t>
      </w:r>
    </w:p>
    <w:p w:rsidR="00880768" w:rsidRDefault="00880768" w:rsidP="00880768">
      <w:r>
        <w:t>Det er òg fleire andre utbyggingsprosjekt som selskapa arbeider med, og der det kan bli levert u</w:t>
      </w:r>
      <w:r>
        <w:t>t</w:t>
      </w:r>
      <w:r>
        <w:t>byggingsplan i 2018/2019. Dette inkluderer Luno II, Mikkel Sør, Smørbukk Nord, Trell og Trine, Garantiana, Fogelberg og Tor. Rettshavarane i ei rekkje funn i området mellom Alvheim og Os</w:t>
      </w:r>
      <w:r>
        <w:t>e</w:t>
      </w:r>
      <w:r>
        <w:t xml:space="preserve">berg jobbar med </w:t>
      </w:r>
      <w:proofErr w:type="gramStart"/>
      <w:r>
        <w:t>å</w:t>
      </w:r>
      <w:proofErr w:type="gramEnd"/>
      <w:r>
        <w:t xml:space="preserve"> mogne fram eit robust utbyggingskonsept for området. Det blir òg arbeidd vid</w:t>
      </w:r>
      <w:r>
        <w:t>a</w:t>
      </w:r>
      <w:r>
        <w:t xml:space="preserve">re med prosjekta Alta/Gohta og Wisting i Barentshavet. </w:t>
      </w:r>
    </w:p>
    <w:p w:rsidR="00880768" w:rsidRDefault="00880768" w:rsidP="00880768">
      <w:r>
        <w:t xml:space="preserve">For </w:t>
      </w:r>
      <w:proofErr w:type="gramStart"/>
      <w:r>
        <w:t>å</w:t>
      </w:r>
      <w:proofErr w:type="gramEnd"/>
      <w:r>
        <w:t xml:space="preserve"> halde oppe ein utbyggingsaktivitet over tid trengst det stadig påfyll av nye funn. Nye utby</w:t>
      </w:r>
      <w:r>
        <w:t>g</w:t>
      </w:r>
      <w:r>
        <w:t>gingar med sjølvstendige innretningar – plattformer eller produksjonsskip – krev at funna er relativt store, mens mindre funn kan utbyggjast lønnsamt ved å knyte seg til eksisterande infrastruktur. Dette betyr at aktiviteten i særleg den delen av leverandørnæringa som i stor grad har marknaden sin retta mot nye, større utbyggingar – som offshoreverfta, er avhengig av at oljeselskapa rege</w:t>
      </w:r>
      <w:r>
        <w:t>l</w:t>
      </w:r>
      <w:r>
        <w:t>bunde gjer nye, store funn. Det er i dag ikkje utsikter til særleg omfang av slik utbyggingsaktivitet etter 2022, derfor er det ein prioritet å gi oljeselskapa tilgang på nytt areal slik at nye store, løn</w:t>
      </w:r>
      <w:r>
        <w:t>n</w:t>
      </w:r>
      <w:r>
        <w:t>same funn blir gjort. Eit tilstrekkeleg høgt nivå på leiteaktiviteten er òg viktig for aktiviteten innan sentrale delar av den maritime offshorenæringa.</w:t>
      </w:r>
    </w:p>
    <w:p w:rsidR="00880768" w:rsidRDefault="00880768" w:rsidP="00880768">
      <w:pPr>
        <w:pStyle w:val="Overskrift3"/>
      </w:pPr>
      <w:r>
        <w:t>Utsiktene for heimemarknaden for ulike deler av leverandørnæringa</w:t>
      </w:r>
    </w:p>
    <w:p w:rsidR="00880768" w:rsidRDefault="00880768" w:rsidP="00880768">
      <w:r>
        <w:t>Ein stor og viktig del av leverandørindustrien – offshoreverfta med underleverandørar og ingeniø</w:t>
      </w:r>
      <w:r>
        <w:t>r</w:t>
      </w:r>
      <w:r>
        <w:t xml:space="preserve">selskapa – har hovudaktivitetar inn mot å etablere, planleggje og gjennomføre nye prosjekt på norsk kontinentalsokkel. Dette omfattar både modifikasjonar på og vidareutvikling av eksisterande felt eller nye utbyggingar. Omsetjinga i marknaden for petroleumsrelaterte </w:t>
      </w:r>
      <w:r>
        <w:rPr>
          <w:rStyle w:val="kursiv"/>
          <w:sz w:val="21"/>
          <w:szCs w:val="21"/>
        </w:rPr>
        <w:t>ingeniørtenester</w:t>
      </w:r>
      <w:r>
        <w:t xml:space="preserve">, som i stor grad er driven av nye feltutbyggingar og modifikasjonsarbeid, vart meir enn halvert frå 2013 til </w:t>
      </w:r>
      <w:r>
        <w:lastRenderedPageBreak/>
        <w:t xml:space="preserve">2016. Trenden snudde til oppgang i 2017, og marknaden er venta </w:t>
      </w:r>
      <w:proofErr w:type="gramStart"/>
      <w:r>
        <w:t>å</w:t>
      </w:r>
      <w:proofErr w:type="gramEnd"/>
      <w:r>
        <w:t xml:space="preserve"> vekse vidare framover. Norske ingeniørmiljø har den siste tida vunne fleire store kontraktar knytte til planlagde prosjekt på sokk</w:t>
      </w:r>
      <w:r>
        <w:t>e</w:t>
      </w:r>
      <w:r>
        <w:t xml:space="preserve">len. </w:t>
      </w:r>
    </w:p>
    <w:p w:rsidR="00880768" w:rsidRDefault="005A2B4F" w:rsidP="005A2B4F">
      <w:pPr>
        <w:pStyle w:val="Figur"/>
      </w:pPr>
      <w:r>
        <w:t>[:figur:figX-X.jpg]</w:t>
      </w:r>
    </w:p>
    <w:p w:rsidR="00880768" w:rsidRDefault="00880768" w:rsidP="00880768">
      <w:pPr>
        <w:pStyle w:val="figur-tittel"/>
      </w:pPr>
      <w:r>
        <w:t>Investeringar fordelte på hovudkategori, mrd. faste 2019-kroner (Oljed</w:t>
      </w:r>
      <w:r>
        <w:t>i</w:t>
      </w:r>
      <w:r>
        <w:t>rektoratet)</w:t>
      </w:r>
    </w:p>
    <w:p w:rsidR="00880768" w:rsidRDefault="00880768" w:rsidP="00880768">
      <w:r>
        <w:t xml:space="preserve">Modifikasjonsoppdrag og feltutbyggingar på norsk sokkel driv òg byggjeaktiviteten ved </w:t>
      </w:r>
      <w:r>
        <w:rPr>
          <w:rStyle w:val="kursiv"/>
          <w:sz w:val="21"/>
          <w:szCs w:val="21"/>
        </w:rPr>
        <w:t>offshor</w:t>
      </w:r>
      <w:r>
        <w:rPr>
          <w:rStyle w:val="kursiv"/>
          <w:sz w:val="21"/>
          <w:szCs w:val="21"/>
        </w:rPr>
        <w:t>e</w:t>
      </w:r>
      <w:r>
        <w:rPr>
          <w:rStyle w:val="kursiv"/>
          <w:sz w:val="21"/>
          <w:szCs w:val="21"/>
        </w:rPr>
        <w:t>verfta</w:t>
      </w:r>
      <w:r>
        <w:t>. Aktiviteten blant norske offshoreverft har halde seg relativt sett oppe etter oljeprisfallet i 2014 på grunn av utbyggingsprosjekt med lang leietid som var bestemt gjennomførde før effekten av oljeprisfallet inntraff. Fleire av dei norske verfta har vunne kontraktar i samband med nyleg lanserte utbyggingsplanar</w:t>
      </w:r>
      <w:r>
        <w:rPr>
          <w:vertAlign w:val="superscript"/>
        </w:rPr>
        <w:footnoteReference w:id="13"/>
      </w:r>
      <w:r>
        <w:t xml:space="preserve"> i sterk internasjonal konkurranse. Samtidig undersøkjer fleire aktørar høva til å diversifisere verksemda, til dømes til havvind og havbruk. Dette vil likevel ha eit noko meir avgrensa omfang.</w:t>
      </w:r>
    </w:p>
    <w:p w:rsidR="00880768" w:rsidRDefault="00880768" w:rsidP="00880768">
      <w:r>
        <w:t xml:space="preserve">Større </w:t>
      </w:r>
      <w:r>
        <w:rPr>
          <w:rStyle w:val="kursiv"/>
          <w:sz w:val="21"/>
          <w:szCs w:val="21"/>
        </w:rPr>
        <w:t>modifikasjonar</w:t>
      </w:r>
      <w:r>
        <w:t xml:space="preserve"> eller behov for nytt utstyr på eksisterande innretningar skuldast blant anna gjennomføring av nye tiltak for auka utvinning. Modifikasjonar kan òg vere knytte til bruk av </w:t>
      </w:r>
      <w:proofErr w:type="gramStart"/>
      <w:r>
        <w:t>feltet sine</w:t>
      </w:r>
      <w:proofErr w:type="gramEnd"/>
      <w:r>
        <w:t xml:space="preserve"> innretningar som vert for nye tredjepartsfelt. I 2017 var investeringane innanfor dette området på 16 mrd. kroner. Fleire større prosjekt for auka utvinning på felt i drift medverkar til ein auke dei næraste åra, særleg i 2018 og 2019. </w:t>
      </w:r>
    </w:p>
    <w:p w:rsidR="00880768" w:rsidRDefault="00880768" w:rsidP="00880768">
      <w:r>
        <w:t xml:space="preserve">Nye </w:t>
      </w:r>
      <w:r>
        <w:rPr>
          <w:rStyle w:val="kursiv"/>
          <w:sz w:val="21"/>
          <w:szCs w:val="21"/>
        </w:rPr>
        <w:t>botnfaste og flytande innretningar</w:t>
      </w:r>
      <w:r>
        <w:t xml:space="preserve"> blir oftast bygde i samband med nye feltutbyggingar, men kan òg bli bygde som del av eit prosjekt for auka utvinning på felt i drift. Størrelsen på innretningane varierer i betydeleg grad, frå store sjølvstendige innretningar til brønnhovudplattformer knytte til andre innretningar. Til vanleg vil ulike delar av desse innretningane bli kontraktsutsette og bygde separat for deretter å bli monterte saman. Til dømes kan det vere separate kontraktar for skrog/understell, dekk, bustadkvarter, prosessanlegg og ulike typar utstyr.</w:t>
      </w:r>
    </w:p>
    <w:p w:rsidR="00880768" w:rsidRDefault="00880768" w:rsidP="00880768">
      <w:r>
        <w:t>I 2017 vart det investert i underkant av 40 mrd. kroner i denne typen innretningar. Ei rekkje nye feltutbyggingar dei siste åra har blitt bygde ut med botnfaste innretningar, med Johan Sverdrup som den største. Dei innretningane som i dag er under bygging, eller er venta godkjende for bygging i år og neste år, vil etter kvart bli ferdigstilte utan at tilsvarande omfang av nye er venta å bli bestemt. Aktiviteten rundt bygging av nye botnfaste eller flytande innretningar vil derfor gradvis avta. Nye felt dei næraste åra er i stor grad venta å bli bygde ut som havbotnfelt med havbotnanlegg knytte opp mot allereie eksisterande innretningar.</w:t>
      </w:r>
    </w:p>
    <w:p w:rsidR="00880768" w:rsidRDefault="00880768" w:rsidP="00880768">
      <w:r>
        <w:t xml:space="preserve">Prosjekt knytte til modifikasjonar på og utvikling vidare av eksisterande felt eller nye utbyggingar vil i større eller mindre omfang omfatte nye </w:t>
      </w:r>
      <w:r>
        <w:rPr>
          <w:rStyle w:val="kursiv"/>
          <w:sz w:val="21"/>
          <w:szCs w:val="21"/>
        </w:rPr>
        <w:t>undervassanlegg</w:t>
      </w:r>
      <w:r>
        <w:t xml:space="preserve">. Innan dette segmentet er sentrale, norskbaserte aktørar verdsleiande. </w:t>
      </w:r>
      <w:proofErr w:type="gramStart"/>
      <w:r>
        <w:t>Det</w:t>
      </w:r>
      <w:proofErr w:type="gramEnd"/>
      <w:r>
        <w:t xml:space="preserve"> same gjeld innan spesialfartøy som er nødvendig for å i</w:t>
      </w:r>
      <w:r>
        <w:t>n</w:t>
      </w:r>
      <w:r>
        <w:t>stallere nytt produksjonsutstyr eller gjere modifikasjonar på eksisterande anlegg. Nye havbotna</w:t>
      </w:r>
      <w:r>
        <w:t>n</w:t>
      </w:r>
      <w:r>
        <w:t>legg består av brønnrammer, ventiltre og manifoldar. Avanserte anlegg kan òg ha pumper, gas</w:t>
      </w:r>
      <w:r>
        <w:t>s</w:t>
      </w:r>
      <w:r>
        <w:t>kompressorar og separatorar. I 2017 vart det investert om lag 5 mrd. kroner i denne typen innre</w:t>
      </w:r>
      <w:r>
        <w:t>t</w:t>
      </w:r>
      <w:r>
        <w:t>ningar. Som følgje av fleire nye utbyggingar på eksisterande felt med nye havbotnanlegg og nye feltutbyggingar med havbotnanlegg, vil desse investeringane auke dei næraste åra. Fleire nye ha</w:t>
      </w:r>
      <w:r>
        <w:t>v</w:t>
      </w:r>
      <w:r>
        <w:t>botnutbyggingar vil òg medverke til auka røyrkostnader. Samla investeringar knytte til røyr og landanlegg var i 2017 11 mrd. kroner.</w:t>
      </w:r>
    </w:p>
    <w:p w:rsidR="00880768" w:rsidRDefault="00880768" w:rsidP="00880768">
      <w:r>
        <w:t xml:space="preserve">Marknaden for </w:t>
      </w:r>
      <w:r>
        <w:rPr>
          <w:rStyle w:val="kursiv"/>
          <w:sz w:val="21"/>
          <w:szCs w:val="21"/>
        </w:rPr>
        <w:t>offshore forsyningsfartøy</w:t>
      </w:r>
      <w:r>
        <w:t xml:space="preserve"> er global og framleis prega av overkapasitet med låg utny</w:t>
      </w:r>
      <w:r>
        <w:t>t</w:t>
      </w:r>
      <w:r>
        <w:t>ting av flåten, og reduserte dagratar. Aktørbildet er relativt fragmentert, med mange små og me</w:t>
      </w:r>
      <w:r>
        <w:t>l</w:t>
      </w:r>
      <w:r>
        <w:lastRenderedPageBreak/>
        <w:t>lomstore selskap. Den norskkontrollerte utanriksflåten består av 1 771 skip, av dette er offshore serviceskip det største segmentet målt i talet på fartøy</w:t>
      </w:r>
      <w:r>
        <w:rPr>
          <w:vertAlign w:val="superscript"/>
        </w:rPr>
        <w:footnoteReference w:id="14"/>
      </w:r>
      <w:r>
        <w:t>. Dei siste åra har vore vanskelege, med konsolidering av næringa og restrukturering av organisasjonar og finansar som resultat. Aktiviteten har no teke seg opp i fleire viktige offshoremarknader. I februar 2017 låg 183 norske skip og riggar i opplag. I februar 2018 var talet 162, ein nedgang på om lag 12 prosent. Vidare viser Rederifo</w:t>
      </w:r>
      <w:r>
        <w:t>r</w:t>
      </w:r>
      <w:r>
        <w:t>bundets prognosar at talet på skip og riggar i opplag er venta å falle til om lag 110 i løpet av 2018</w:t>
      </w:r>
      <w:r>
        <w:rPr>
          <w:vertAlign w:val="superscript"/>
        </w:rPr>
        <w:footnoteReference w:id="15"/>
      </w:r>
      <w:r>
        <w:t>.</w:t>
      </w:r>
    </w:p>
    <w:p w:rsidR="00880768" w:rsidRDefault="00880768" w:rsidP="00880768">
      <w:pPr>
        <w:rPr>
          <w:rStyle w:val="kursiv"/>
          <w:sz w:val="21"/>
          <w:szCs w:val="21"/>
        </w:rPr>
      </w:pPr>
      <w:r>
        <w:rPr>
          <w:rStyle w:val="kursiv"/>
          <w:sz w:val="21"/>
          <w:szCs w:val="21"/>
        </w:rPr>
        <w:t>Riggmarknaden</w:t>
      </w:r>
      <w:r>
        <w:t xml:space="preserve"> viser òg teikn til betring. Overkapasitet med låg utnytting og reduserte dagratar har sett aktørane under press dei siste åra. Mange gamle einingar kjem trulig ikkje tilbake i drift. Det er no færre tilgjengelege einingar og auka etterspørsel i marknaden på kort sikt. Talet på aktive aktø</w:t>
      </w:r>
      <w:r>
        <w:t>r</w:t>
      </w:r>
      <w:r>
        <w:t>ar i den norske marknaden tel i overkant av 15 selskap av ulik størrelse. Nokre få men betydelege aktørar har slått seg saman dei siste åra, og nokre har inngått allianseavtaler med operatørar og andre leverandørar. Åtte riggar er venta å komme ut av opplagsbøyane og inn i marknaden igjen mot neste år, etter at talet på riggar i opplag har vore stabilt på 25 einingar frå februar 2017 til same månad i 2018</w:t>
      </w:r>
      <w:r>
        <w:rPr>
          <w:vertAlign w:val="superscript"/>
        </w:rPr>
        <w:footnoteReference w:id="16"/>
      </w:r>
      <w:r>
        <w:t xml:space="preserve">. </w:t>
      </w:r>
      <w:proofErr w:type="gramStart"/>
      <w:r>
        <w:t>Å</w:t>
      </w:r>
      <w:proofErr w:type="gramEnd"/>
      <w:r>
        <w:t xml:space="preserve"> setje ein rigg som har lege i opplag i stand for nye oppdrag er svært kostbart. Særleg dyrt er det å reaktivere ein rigg som har lege i kaldt opplag, det vil seie utan løpande vedl</w:t>
      </w:r>
      <w:r>
        <w:t>i</w:t>
      </w:r>
      <w:r>
        <w:t>kehald og mannskap over lengre tid. Det er teikn til at boreaktiviteten på sokkelen vil auke noko framover, med auka leitebudsjett og nye kontraktar den seinare tida. Nye felt på norsk sokkel blir i større grad enn før bygde med plattformer utan boredekk, noko som aukar behovet for riggtenester gjennom felta sitt livsløp.</w:t>
      </w:r>
    </w:p>
    <w:p w:rsidR="00880768" w:rsidRDefault="00880768" w:rsidP="00880768">
      <w:pPr>
        <w:rPr>
          <w:rStyle w:val="kursiv"/>
          <w:sz w:val="21"/>
          <w:szCs w:val="21"/>
        </w:rPr>
      </w:pPr>
      <w:r>
        <w:rPr>
          <w:rStyle w:val="kursiv"/>
          <w:sz w:val="21"/>
          <w:szCs w:val="21"/>
        </w:rPr>
        <w:t>Boring av brønnar</w:t>
      </w:r>
      <w:r>
        <w:t xml:space="preserve"> til utvinning er ein stor aktivitet med eit stort tal selskap involvert som teneste- og utstyrsleverandørar. Mange av brønnane blir også bora frå riggar som er leigde inn av rettshavar</w:t>
      </w:r>
      <w:r>
        <w:t>a</w:t>
      </w:r>
      <w:r>
        <w:t>ne. Både på felt i drift og i samband med nye feltutbyggingar utgjer boring av nye utvinningsbrø</w:t>
      </w:r>
      <w:r>
        <w:t>n</w:t>
      </w:r>
      <w:r>
        <w:t>nar ein betydeleg aktivitet. Ei rekkje eldre produksjonsinnretningar er utstyrt med eigen borerigg og desse blir nytta til å bore nye utvinningsbrønnar på desse felta, elles blir det ofte nytta mobile boreinnretningar. I 2017 vart det bora vel 170 utvinningsbrønnar med ei samla investering på 55 mrd. kroner. Av dette utgjorde brønnar bora med mobile innretningar 70 prosent av samla kos</w:t>
      </w:r>
      <w:r>
        <w:t>t</w:t>
      </w:r>
      <w:r>
        <w:t>nad. Leige av rigg og ulike typar brønnservicetenester utgjer ein stor del av ressursbruken. Leige av rigg åleine utgjer rundt 40 prosent av kostnaden for ein brønn bora med mobil innretning. I sa</w:t>
      </w:r>
      <w:r>
        <w:t>m</w:t>
      </w:r>
      <w:r>
        <w:t xml:space="preserve">band med gjennomføring av fleire større prosjekt på felt i drift og ei rekkje nye feltutbyggingar er det venta ein viss auke i aktiviteten når det gjeld boring av utvinningsbrønnar bora med mobile innretningar dei næraste par åra. </w:t>
      </w:r>
    </w:p>
    <w:p w:rsidR="00880768" w:rsidRDefault="00880768" w:rsidP="00880768">
      <w:pPr>
        <w:rPr>
          <w:rStyle w:val="kursiv"/>
          <w:sz w:val="21"/>
          <w:szCs w:val="21"/>
        </w:rPr>
      </w:pPr>
      <w:r>
        <w:rPr>
          <w:rStyle w:val="kursiv"/>
          <w:sz w:val="21"/>
          <w:szCs w:val="21"/>
        </w:rPr>
        <w:t>Leiteaktiviteten</w:t>
      </w:r>
      <w:r>
        <w:t xml:space="preserve"> er viktig for riggeigaren og andre segment av den maritime offshorenæringa, sei</w:t>
      </w:r>
      <w:r>
        <w:t>s</w:t>
      </w:r>
      <w:r>
        <w:t xml:space="preserve">mikkselskap og ulike tenesteleverandørar. Kostnadene til leitebrønnar utgjer over halvparten av utgiftene knytte til leiteverksemda. Dei andre </w:t>
      </w:r>
      <w:proofErr w:type="gramStart"/>
      <w:r>
        <w:t>kostnadene</w:t>
      </w:r>
      <w:proofErr w:type="gramEnd"/>
      <w:r>
        <w:t xml:space="preserve"> omfattar generelle undersøkingar som seismikkinnsamling, studiar i tidleg fase (feltevaluering) og administrasjon.</w:t>
      </w:r>
    </w:p>
    <w:p w:rsidR="00880768" w:rsidRDefault="00880768" w:rsidP="00880768">
      <w:r>
        <w:t xml:space="preserve">Equinor ber den største delen av investeringane i den neste femårsperioden. Dette må sjåast i samanheng med at dei pågåande utbyggingsprosjekta Johan Sverdrup, Johan Castberg og Snorre Expansion er relativt store. Dei mellomstore selskapa aukar sin del gjennom perioden, og har i 2020 ein like stor del som Equinor – om lag 30 prosent. Dei store oljeselskapa står gjennom heile perioden for litt over ein sjettedel av investeringane. Investeringane frå SDØE (Petoro) er venta, basert på desse anslaga, </w:t>
      </w:r>
      <w:proofErr w:type="gramStart"/>
      <w:r>
        <w:t>å</w:t>
      </w:r>
      <w:proofErr w:type="gramEnd"/>
      <w:r>
        <w:t xml:space="preserve"> liggje litt lågare enn nivået i dag mot slutten av analyseperioden. </w:t>
      </w:r>
    </w:p>
    <w:p w:rsidR="00880768" w:rsidRDefault="005A2B4F" w:rsidP="005A2B4F">
      <w:pPr>
        <w:pStyle w:val="Figur"/>
      </w:pPr>
      <w:r>
        <w:t>[:figur:figX-X.jpg]</w:t>
      </w:r>
    </w:p>
    <w:p w:rsidR="00880768" w:rsidRDefault="00880768" w:rsidP="00880768">
      <w:pPr>
        <w:pStyle w:val="figur-tittel"/>
      </w:pPr>
      <w:r>
        <w:lastRenderedPageBreak/>
        <w:t>Investeringar fordelte på selskap, mrd. faste 2019-kroner (Oljedirektoratet)</w:t>
      </w:r>
    </w:p>
    <w:p w:rsidR="00880768" w:rsidRDefault="00880768" w:rsidP="00880768">
      <w:r>
        <w:t>Ein viktig del av leveransane inn til norsk sokkel der geografisk nærheit til felta er et særleg ko</w:t>
      </w:r>
      <w:r>
        <w:t>n</w:t>
      </w:r>
      <w:r>
        <w:t>kurransefortrinn er knytte til drift av felta. Ingeniør- og verftselskapa, undervasselskapa og ISO-faga (isolasjon, stillas og overflatebehandling) leverer for eksempel mykje i drift- og vedlik</w:t>
      </w:r>
      <w:r>
        <w:t>e</w:t>
      </w:r>
      <w:r>
        <w:t>haldsmarknaden. Driftskontraktar er ofte langsiktige kontraktar som er føreseielege for levera</w:t>
      </w:r>
      <w:r>
        <w:t>n</w:t>
      </w:r>
      <w:r>
        <w:t>dørane. Equinor inngjekk for eksempel i 2017 rammeavtaler verdt om lag 8 mrd. kroner med v</w:t>
      </w:r>
      <w:r>
        <w:t>a</w:t>
      </w:r>
      <w:r>
        <w:t>righet fram til 2023 for undervassvedlikehald med fleire norskbaserte selskap. Innan ISO-faga vart det i 2016 og 2017 tildelt langsiktige rammeavtaler i milliardklassen til fleire norske aktørar. Norske ingeniør- og verftsselskap har òg mange langsiktige rammeavtaler innan drift og vedlik</w:t>
      </w:r>
      <w:r>
        <w:t>e</w:t>
      </w:r>
      <w:r>
        <w:t xml:space="preserve">hald. </w:t>
      </w:r>
    </w:p>
    <w:p w:rsidR="00880768" w:rsidRDefault="00880768" w:rsidP="00880768">
      <w:r>
        <w:t>Driftskostnadene på norsk sokkel er påverka av dei auka investeringane. Når prosjekt mognar fram og kjem i drift, aukar kostnadene til dagleg drift og etter kvart til vedlikehald. I perioden fram mot 2022 er det fleire felt som kjem i produksjon utan at dette er motsvara av at eldre felt stengjer ned. Dette er hovudårsaka til ein moderat vekst i dei sama driftskostnadene.</w:t>
      </w:r>
    </w:p>
    <w:p w:rsidR="00880768" w:rsidRDefault="005A2B4F" w:rsidP="005A2B4F">
      <w:pPr>
        <w:pStyle w:val="Figur"/>
      </w:pPr>
      <w:r>
        <w:t>[:figur:figX-X.jpg]</w:t>
      </w:r>
    </w:p>
    <w:p w:rsidR="00880768" w:rsidRDefault="00880768" w:rsidP="00880768">
      <w:pPr>
        <w:pStyle w:val="figur-tittel"/>
      </w:pPr>
      <w:r>
        <w:t>Driftskostnader fordelt på hovudkategori, mrd. faste 2019-kroner (Oljed</w:t>
      </w:r>
      <w:r>
        <w:t>i</w:t>
      </w:r>
      <w:r>
        <w:t>rektoratet)</w:t>
      </w:r>
    </w:p>
    <w:p w:rsidR="00880768" w:rsidRDefault="00880768" w:rsidP="00880768">
      <w:r>
        <w:t>Ved årsskiftet 2017/2018 var det 85 felt i produksjon på norsk sokkel, fem av desse kom i produ</w:t>
      </w:r>
      <w:r>
        <w:t>k</w:t>
      </w:r>
      <w:r>
        <w:t>sjon i løpet av 2017. Driftskostnadene for felt i drift og felt som kjem i drift i løpet av analysep</w:t>
      </w:r>
      <w:r>
        <w:t>e</w:t>
      </w:r>
      <w:r>
        <w:t>rioden, er fordelt per selskap i figur 11.13. Equinor ber om lag 26 prosent av driftskostnadene på sokkelen gjennom analyseperioden. SDØE står for om lag 21 prosent. Dei store internasjonale o</w:t>
      </w:r>
      <w:r>
        <w:t>l</w:t>
      </w:r>
      <w:r>
        <w:t>jeselskapa står for ein stor del av driftskostnadene, i overkant av 20 prosent av totale driftskostn</w:t>
      </w:r>
      <w:r>
        <w:t>a</w:t>
      </w:r>
      <w:r>
        <w:t xml:space="preserve">der. Dei mellomstore aktørane står for om lag 24 prosent av totale driftskostnader. </w:t>
      </w:r>
    </w:p>
    <w:p w:rsidR="00880768" w:rsidRDefault="005A2B4F" w:rsidP="005A2B4F">
      <w:pPr>
        <w:pStyle w:val="Figur"/>
      </w:pPr>
      <w:r>
        <w:t>[:figur:figX-X.jpg]</w:t>
      </w:r>
    </w:p>
    <w:p w:rsidR="00880768" w:rsidRDefault="00880768" w:rsidP="00880768">
      <w:pPr>
        <w:pStyle w:val="figur-tittel"/>
      </w:pPr>
      <w:r>
        <w:t>Driftskostnader fordelt på selskap, mrd. faste 2019-kroner (Oljedirektoratet)</w:t>
      </w:r>
    </w:p>
    <w:p w:rsidR="00880768" w:rsidRDefault="00880768" w:rsidP="00880768">
      <w:pPr>
        <w:pStyle w:val="Overskrift3"/>
      </w:pPr>
      <w:r>
        <w:t>Utemarknaden for leverandørindustrien framover</w:t>
      </w:r>
    </w:p>
    <w:p w:rsidR="00880768" w:rsidRDefault="00880768" w:rsidP="00880768">
      <w:r>
        <w:t>I henhold til ei kartlegging frå Rystad Energy, så omsette norsk leverandørindustri i 2016 for t</w:t>
      </w:r>
      <w:r>
        <w:t>o</w:t>
      </w:r>
      <w:r>
        <w:t>talt 378 mrd. 2016-kroner, av dette var 132 mrd. kroner (35 prosent) internasjonal omsetjing. Sto</w:t>
      </w:r>
      <w:r>
        <w:t>r</w:t>
      </w:r>
      <w:r>
        <w:t>britannia var i 2016 dei norske leverandørane sin viktigaste internasjonale marknad, etterfølgt av Brasil, USA, Angola og Sør-Korea. Sør-Korea har ikkje ein stor offshoresektor, men store verft som kjøpar inn utstyr til riggar og installasjonar, også til dei som leverast for bruk på norsk sokkel. Til saman utgjorde dei fem største marknadene over halvparten av næringa si internasjonale omse</w:t>
      </w:r>
      <w:r>
        <w:t>t</w:t>
      </w:r>
      <w:r>
        <w:t>jing</w:t>
      </w:r>
      <w:r>
        <w:rPr>
          <w:vertAlign w:val="superscript"/>
        </w:rPr>
        <w:footnoteReference w:id="17"/>
      </w:r>
      <w:r>
        <w:t>.</w:t>
      </w:r>
    </w:p>
    <w:p w:rsidR="00880768" w:rsidRDefault="00880768" w:rsidP="00880768">
      <w:r>
        <w:t xml:space="preserve">Fleire analysar framhevar at aktiviteten i petroleumssektoren globalt sett vil vere aukande over dei neste åra. Stødig etterspørselsvekst etter olje og gass, kombinert med etterslep i investeringar i nye felt og minkande utvinning frå eksisterande felt, tilseier at det vil vere nødvendig </w:t>
      </w:r>
      <w:proofErr w:type="gramStart"/>
      <w:r>
        <w:t>å</w:t>
      </w:r>
      <w:proofErr w:type="gramEnd"/>
      <w:r>
        <w:t xml:space="preserve"> byggje ut nye felt på global basis for å halde ved lag produksjonsnivået framover. Samtidig har kostnadsredu</w:t>
      </w:r>
      <w:r>
        <w:t>k</w:t>
      </w:r>
      <w:r>
        <w:t xml:space="preserve">sjonar medverka til </w:t>
      </w:r>
      <w:proofErr w:type="gramStart"/>
      <w:r>
        <w:t>å</w:t>
      </w:r>
      <w:proofErr w:type="gramEnd"/>
      <w:r>
        <w:t xml:space="preserve"> gjere fleire felt lønnsame sjølv med stabilt lågare olje- og gassprisar.</w:t>
      </w:r>
    </w:p>
    <w:p w:rsidR="00880768" w:rsidRDefault="005A2B4F" w:rsidP="005A2B4F">
      <w:pPr>
        <w:pStyle w:val="Figur"/>
      </w:pPr>
      <w:r>
        <w:t>[:figur:figX-X.jpg]</w:t>
      </w:r>
    </w:p>
    <w:p w:rsidR="00880768" w:rsidRDefault="00880768" w:rsidP="00880768">
      <w:pPr>
        <w:pStyle w:val="figur-tittel"/>
      </w:pPr>
      <w:r>
        <w:lastRenderedPageBreak/>
        <w:t xml:space="preserve">Innkjøp til offshore oppstraums petroleumsverksemd per region, norsk sokkel inkludert, mrd. USD </w:t>
      </w:r>
    </w:p>
    <w:p w:rsidR="00880768" w:rsidRDefault="00880768" w:rsidP="00880768">
      <w:pPr>
        <w:pStyle w:val="Kilde"/>
      </w:pPr>
      <w:r>
        <w:t>Rystad Energy, Internasjonal omsetning frå norske oljeserviceselskap, oktober 2017</w:t>
      </w:r>
    </w:p>
    <w:p w:rsidR="00880768" w:rsidRDefault="00880768" w:rsidP="00880768">
      <w:r>
        <w:t>Rystad Energy peiker i sin analyse av globale framtidsutsikter på fleire forhold som tilseier at den norske leverandørindustrien er godt posisjonert for nye oppdrag i utemarknaden. Det er venta at i 2030 vil 35 prosent av total olje- og gassproduksjon komme frå funn som enno ikkje er utvikla. Offshoreutbyggingar, spesielt på djupt vatn, er venta å drive ein vesentleg del av produksjonsvek</w:t>
      </w:r>
      <w:r>
        <w:t>s</w:t>
      </w:r>
      <w:r>
        <w:t>ten på lengre sikt. Den norskbaserte leverandørindustrien har kompetanse og teknologi spesielt retta mot offshore utbygging, vedlikehald og modifikasjon og er verdsleiande på undervasstekn</w:t>
      </w:r>
      <w:r>
        <w:t>o</w:t>
      </w:r>
      <w:r>
        <w:t xml:space="preserve">logi (subsea), eit segment som venta å bli viktig. </w:t>
      </w:r>
    </w:p>
    <w:p w:rsidR="00880768" w:rsidRDefault="00880768" w:rsidP="00880768">
      <w:pPr>
        <w:rPr>
          <w:rStyle w:val="kursiv"/>
          <w:sz w:val="21"/>
          <w:szCs w:val="21"/>
        </w:rPr>
      </w:pPr>
      <w:r>
        <w:rPr>
          <w:rStyle w:val="kursiv"/>
          <w:sz w:val="21"/>
          <w:szCs w:val="21"/>
        </w:rPr>
        <w:t>Undervass-leverandørane</w:t>
      </w:r>
      <w:r>
        <w:t xml:space="preserve"> vart også ramma av oljeprisfallet med påfølgjande reduksjon av kapasitet. Internasjonal omsetjing for undervassleverandørane fall med 24 prosent frå 2015 til 2016. Dette fallet var lågare enn for enkelte andre segment og undervassleveransar var i 2016 segmentet med størst internasjonal omsetning på 30 mrd. kroner. Undervassleverandørane har sikra seg betydelege kontraktar knytte til planlagde utbyggingar på norsk sokkel. Samtidig har dei ein stor marknadsdel internasjonalt med leveransar både frå Noreg og frå dotterselskap i utlandet. Viktige internasjonale marknader for norskbaserte undervassleverandørar er blant anna Brasil, Storbritannia, USA og Angola</w:t>
      </w:r>
      <w:r>
        <w:rPr>
          <w:vertAlign w:val="superscript"/>
        </w:rPr>
        <w:footnoteReference w:id="18"/>
      </w:r>
      <w:r>
        <w:t xml:space="preserve">. </w:t>
      </w:r>
    </w:p>
    <w:p w:rsidR="00880768" w:rsidRDefault="00880768" w:rsidP="00880768">
      <w:r>
        <w:t xml:space="preserve">Eit anna segment der norske leverandørbedrifter har hatt stor aktivitet er innanfor </w:t>
      </w:r>
      <w:r>
        <w:rPr>
          <w:rStyle w:val="kursiv"/>
          <w:sz w:val="21"/>
          <w:szCs w:val="21"/>
        </w:rPr>
        <w:t>leveransar knytte til bygging av nye boreanlegg.</w:t>
      </w:r>
      <w:r>
        <w:t xml:space="preserve"> Dette segmentet står fortsatt overfor ein krevjande marknadssituasjon.</w:t>
      </w:r>
    </w:p>
    <w:p w:rsidR="00880768" w:rsidRDefault="00880768" w:rsidP="00880768">
      <w:r>
        <w:t>Norwegian Energy Partners (Norwep) jobbar tett på leverandørindustrien, og er ved sidan av Inn</w:t>
      </w:r>
      <w:r>
        <w:t>o</w:t>
      </w:r>
      <w:r>
        <w:t xml:space="preserve">vasjon Noreg eit av regjeringas viktigaste verkemiddel for </w:t>
      </w:r>
      <w:proofErr w:type="gramStart"/>
      <w:r>
        <w:t>å</w:t>
      </w:r>
      <w:proofErr w:type="gramEnd"/>
      <w:r>
        <w:t xml:space="preserve"> fremje dei norske energinæringane i utanlandske marknader, i denne samanhengen dei norske oljeteknologibedriftene. Norwep obse</w:t>
      </w:r>
      <w:r>
        <w:t>r</w:t>
      </w:r>
      <w:r>
        <w:t>verer at den internasjonale konkurransen har blitt meir krevjande, og at det er mange aktørar som konkurrerer om dei moglegheitene som finst. Vidare ser ein at det er stor interesse for norsk tekn</w:t>
      </w:r>
      <w:r>
        <w:t>o</w:t>
      </w:r>
      <w:r>
        <w:t>logi og kompetanse internasjonalt, og at norske aktørar har eit godt renommé. Sjølv om det norske kostnadsnivået tidvis har gitt utfordringar har norsk leverandørindustri vist seg konkurransedyktig. Norske selskap har ein sterk base i digitaliserte løysingar og løysingar for reinare produksjon, og det er venta at norske løysingar derfor vil vere etterspurt i ein marknad som er under endring basert på digitale og meir miljøvennlege løysingar.</w:t>
      </w:r>
    </w:p>
    <w:p w:rsidR="00880768" w:rsidRDefault="00880768" w:rsidP="00880768">
      <w:r>
        <w:t>Med tilspissa konkurranse vil relevant og tidsrett marknadsinformasjon bli desto viktigare fra</w:t>
      </w:r>
      <w:r>
        <w:t>m</w:t>
      </w:r>
      <w:r>
        <w:t>over. God kontakt med ingeniørsenter der dei største og viktigaste kundane utarbeider konseptlø</w:t>
      </w:r>
      <w:r>
        <w:t>y</w:t>
      </w:r>
      <w:r>
        <w:t xml:space="preserve">singar og bestemmer leverandørdeltaking er også spesielt viktig. Leverandørar som søkjer å utnytte kjernekompetansen sin i nye marknader må tilpasse seg nye kundar. Norwegian Energy Partners legg dette til rette på ein kostnadseffektiv måte. </w:t>
      </w:r>
    </w:p>
    <w:p w:rsidR="00880768" w:rsidRDefault="00880768" w:rsidP="00880768">
      <w:pPr>
        <w:pStyle w:val="Overskrift2"/>
      </w:pPr>
      <w:r>
        <w:t>Perspektiv på lengre sikt for ein levedyktig leverandørindustri</w:t>
      </w:r>
    </w:p>
    <w:p w:rsidR="00880768" w:rsidRDefault="00880768" w:rsidP="00880768">
      <w:r>
        <w:t>Verdas befolkning aukar og behovet for velstandsauke er stort. Det krev tilgang til meir energi. Verdas etterspørsel etter olje og gass har i lys av dette også auka dei siste åra. Etterspørselsu</w:t>
      </w:r>
      <w:r>
        <w:t>t</w:t>
      </w:r>
      <w:r>
        <w:t>viklinga for olje og gass framover avheng blant anna av befolkningsutviklinga, økonomisk vekst, teknologi og energipolitikken i dei store forbrukslanda. Dei mest autoritative og heilskaplege a</w:t>
      </w:r>
      <w:r>
        <w:t>n</w:t>
      </w:r>
      <w:r>
        <w:t>slaga for verda si framtidige energiutvikling kjem frå Det internasjonale energibyrået (IEA). IEA utarbeider ulike scenario for framtidig utvikling i etterspørselen, under dette scenario som oppfyller måla i Paris-avtala. Felles for IEAs sentrale scenario («New Policies Scenario», «Sustainable D</w:t>
      </w:r>
      <w:r>
        <w:t>e</w:t>
      </w:r>
      <w:r>
        <w:t xml:space="preserve">velopment Scenario» og «Current Policies Scenario») er at det er stor etterspørsel etter olje og gass </w:t>
      </w:r>
      <w:r>
        <w:lastRenderedPageBreak/>
        <w:t>i fleire tiår framover. Produksjonen frå dei felta som produserer i dag fell over tid, og det er dermed eit stort behov for nye investeringar i olje- og gassproduksjon i alle tre scenario. Ei nærare beskr</w:t>
      </w:r>
      <w:r>
        <w:t>i</w:t>
      </w:r>
      <w:r>
        <w:t>ving av den globale energisituasjonen finst i Prop. 80 S (2017–2018).</w:t>
      </w:r>
    </w:p>
    <w:p w:rsidR="00880768" w:rsidRDefault="00880768" w:rsidP="00880768">
      <w:r>
        <w:t xml:space="preserve">Verdas olje- og gassressursar har ulike kostnader knytte til leiting, utbygging og drift. For å utløyse dei nødvendige investeringane i ny produksjon globalt, vil ein vente at olje- og gassprisane vil vere høge nok til å gi lønnsemd i investeringene. Ein levedyktig norsk leverandørindustri føreset på lang sikt lønnsam aktivitet på norsk sokkel og ein sterk heimemarknad. Moglegheitene er gode for ei positiv utvikling på norsk sokkel, med høg aktivitet og verdiskaping. </w:t>
      </w:r>
    </w:p>
    <w:p w:rsidR="00880768" w:rsidRDefault="00880768" w:rsidP="00880768">
      <w:r>
        <w:t xml:space="preserve">Ressursrekneskapen for 2017 indikerer at vel 45 prosent av dei totale petroleumsressursane på norsk sokkel er produsert ved utgangen av 2017. Av dei gjenverande ressursane er nær 44 prosent anslått </w:t>
      </w:r>
      <w:proofErr w:type="gramStart"/>
      <w:r>
        <w:t>å</w:t>
      </w:r>
      <w:proofErr w:type="gramEnd"/>
      <w:r>
        <w:t xml:space="preserve"> liggje i eksisterande felt, vel ni prosent i funn som det ikkje er bestemt å byggje ut, mens om lag 47 prosent står att å finne. Om lag 44 prosent av gjenverande ressursar på norsk sokkel ligg truleg i Nordsjøen. Om lag 36 prosent er venta liggje i Barentshavet, mens resten ligg i Norskeh</w:t>
      </w:r>
      <w:r>
        <w:t>a</w:t>
      </w:r>
      <w:r>
        <w:t>vet. For dei anslåtte uoppdaga ressursane er situasjonen annleis. Nesten to tredelar av desse ligg i Barentshavet mens resten er fordelt på Norskehavet og Nordsjøen. Oppsidepotensialet er desidert størst i Barentshavet der ein har store område som ikkje er utforska. Den langsiktige livskrafta for norsk leverandørindustri er derfor avhengig av at desse områda blir utforska. Dette må skje inna</w:t>
      </w:r>
      <w:r>
        <w:t>n</w:t>
      </w:r>
      <w:r>
        <w:t>for forsvarlege rammer når det gjeld helse, miljø og tryggleik, og omsynet til det ytre miljøet må takast vare på.</w:t>
      </w:r>
    </w:p>
    <w:p w:rsidR="00880768" w:rsidRDefault="00880768" w:rsidP="00880768">
      <w:r>
        <w:t>For å oppnå målet om vidare lønnsam produksjon av norske ressursar må ressursane våre vere konkurransedyktige globalt. Dei mange prosjekta som er sett i gang det siste året viser at norske feltutbyggingar er konkurransedyktige i dag. Av totalt 25 sanksjonerte store prosjekt globalt i 2017, var 8 prosjekt på norsk kontinentalsokkel, ifølgje Wood Mackenzie, jf. figur 11.15. Så lenge næringa unngår særnorske kostnader og driv effektivt, bør ressursar på norsk sokkel vere konku</w:t>
      </w:r>
      <w:r>
        <w:t>r</w:t>
      </w:r>
      <w:r>
        <w:t>ransedyktige og lønnsame også framover. Naturomgivnadene på norsk kontinentalsokkel har vist seg handterlege. Oljeselskapa og leverandørbedriftene har saman utvikla lønnsame ressursar på heile kontinentalsokkelen. I Noreg har vi ein særleg fordel i ei svært kompetent petroleumsnæring, stabile rammevilkår, ein omfattande og effektiv infrastruktur og nærleik til marknaden. Den norske ressursbasen si konkurransekraft er òg nærare beskriven i Prop. 80 S (2017–2018).</w:t>
      </w:r>
    </w:p>
    <w:p w:rsidR="00880768" w:rsidRDefault="005A2B4F" w:rsidP="005A2B4F">
      <w:pPr>
        <w:pStyle w:val="Figur"/>
      </w:pPr>
      <w:r>
        <w:t>[:figur:figX-X.jpg]</w:t>
      </w:r>
    </w:p>
    <w:p w:rsidR="00880768" w:rsidRDefault="00880768" w:rsidP="00880768">
      <w:pPr>
        <w:pStyle w:val="figur-tittel"/>
      </w:pPr>
      <w:r>
        <w:t>Store sanksjonerte olje- og gassutbyggingsprosjekt globalt i 2017 (Wood Mackenzie, Esri)</w:t>
      </w:r>
    </w:p>
    <w:p w:rsidR="00880768" w:rsidRDefault="00880768" w:rsidP="00880768">
      <w:r>
        <w:t>Utviklinga på norsk sokkel er òg avhengig av ein målretta petroleumspolitikk for å maksimere ve</w:t>
      </w:r>
      <w:r>
        <w:t>r</w:t>
      </w:r>
      <w:r>
        <w:t xml:space="preserve">diskapinga frå verksemda. I St.meld. nr. 38 (2001–2002) som vart lagt fram av Bondevik II-regjeringa i juni 2002, vart det trekt opp to utviklingsbaner for olje- og gassproduksjonen frå norsk sokkel. Det vart trekt opp </w:t>
      </w:r>
      <w:proofErr w:type="gramStart"/>
      <w:r>
        <w:t>ei</w:t>
      </w:r>
      <w:proofErr w:type="gramEnd"/>
      <w:r>
        <w:t xml:space="preserve"> forventningsbane, basert på ein petroleumspolitikk der ein fra</w:t>
      </w:r>
      <w:r>
        <w:t>m</w:t>
      </w:r>
      <w:r>
        <w:t>leis la til rette for lønnsam produksjon av olje- og gassressursane i eit langsiktig perspektiv, og ei «forvitringsbane», der ein berre hausta av investeringar som allereie var gjort, jf. figur 11.16.</w:t>
      </w:r>
    </w:p>
    <w:p w:rsidR="00880768" w:rsidRDefault="005A2B4F" w:rsidP="005A2B4F">
      <w:pPr>
        <w:pStyle w:val="Figur"/>
      </w:pPr>
      <w:r>
        <w:t>[:figur:figX-X.jpg]</w:t>
      </w:r>
    </w:p>
    <w:p w:rsidR="00880768" w:rsidRDefault="00880768" w:rsidP="00880768">
      <w:pPr>
        <w:pStyle w:val="figur-tittel"/>
      </w:pPr>
      <w:r>
        <w:t>Utviklingsbaner for petroleumsproduksjonen på norsk kontinentalsokkel</w:t>
      </w:r>
    </w:p>
    <w:p w:rsidR="00880768" w:rsidRDefault="00880768" w:rsidP="00880768">
      <w:r>
        <w:t xml:space="preserve">Ei samanlikning med den langsiktige produksjonsbana frå 2002 viser at produksjonen no ligg over det ein anslo for 15 år sidan. Det skuldast ei næring som har </w:t>
      </w:r>
      <w:proofErr w:type="gramStart"/>
      <w:r>
        <w:t>gripe</w:t>
      </w:r>
      <w:proofErr w:type="gramEnd"/>
      <w:r>
        <w:t xml:space="preserve"> dei høva styresmaktene har ti</w:t>
      </w:r>
      <w:r>
        <w:t>l</w:t>
      </w:r>
      <w:r>
        <w:t>bode, godt hjelpt av ein periode med gode oljeprisar. Det skuldast ein aktiv og stabil petroleumsp</w:t>
      </w:r>
      <w:r>
        <w:t>o</w:t>
      </w:r>
      <w:r>
        <w:t xml:space="preserve">litikk der det er lagt til rette for eit aktørbilde og rammevilkår som gjer at alle lønnsame ressursar </w:t>
      </w:r>
      <w:r>
        <w:lastRenderedPageBreak/>
        <w:t>skal utnyttast. Det blå området viser den ekstraproduksjonen som næringa har klart å skape og er venta å skape ved nye avgjersler sidan 2002. Desse avgjerslene har medført høg verdiskaping, store inntekter til samfunnet og omfattande sysselsetjing, og utgjer ein stor del av produksjonen i dag og framover. Introduksjonen av TFO- og leiterefusjonsordninga, stabile rammevilkår, auka mangfald blant oljeselskapa og en effektiv regulering av infrastruktur har vore med på å utløyse auken i ve</w:t>
      </w:r>
      <w:r>
        <w:t>r</w:t>
      </w:r>
      <w:r>
        <w:t xml:space="preserve">diskaping og produksjon. </w:t>
      </w:r>
    </w:p>
    <w:p w:rsidR="00880768" w:rsidRDefault="00880768" w:rsidP="00880768">
      <w:r>
        <w:t>Det er ingen grunn til at potensialet for ytterlegare verdiskaping gjennom ein aktiv politikk skulle vere mindre i dag enn i 2002. Dei vala som blir gjort no og framover vil vere avgjerande for om dei høva til inntekt, verdiskaping og aktivitet som ligg i lønnsam utnytting av petroleumsressursane våre blir utnytta. Ved å føre vidare ein aktiv petroleumspolitikk legg ein best til rette for å gjensk</w:t>
      </w:r>
      <w:r>
        <w:t>a</w:t>
      </w:r>
      <w:r>
        <w:t>pe den positive utviklinga som er oppnådd sidan 2002. Det står om mange milliardar kroner i sta</w:t>
      </w:r>
      <w:r>
        <w:t>t</w:t>
      </w:r>
      <w:r>
        <w:t>lege inntekter, og produktive kompetansearbeidsplassar i heile landet.</w:t>
      </w:r>
    </w:p>
    <w:p w:rsidR="00880768" w:rsidRDefault="00880768" w:rsidP="00880768">
      <w:r>
        <w:t>Det har vore brei politisk semje om rammevilkåra for petroleumsverksemd. Dette har medverka til stabile og føreseielege rammevilkår, som er eit vesentleg konkurransefortrinn for norsk sokkel og viktig for god ressursforvaltning, kompetansesterke arbeidsplassar og høg verdiskaping. For å sikre lønnsam produksjon av olje og gass framover er det viktig å føre vidare ein stabil, langsiktig petr</w:t>
      </w:r>
      <w:r>
        <w:t>o</w:t>
      </w:r>
      <w:r>
        <w:t>leumspolitikk. Regjeringas petroleumspolitikk er nærare beskriven i Prop. 80 S (2017–2018).</w:t>
      </w:r>
    </w:p>
    <w:p w:rsidR="00880768" w:rsidRDefault="00880768" w:rsidP="00880768">
      <w:r>
        <w:t>Ressurstilveksten frå nye funn har dei siste åra vore låg. Dersom det ikkje blir gjort nye, større funn, vil dette medføre redusert investeringsaktivitet på mellomlang sikt. Det er god interesse frå næringa for videre utforsking av norsk sokkel. Ein jamn, føreseieleg tilgang på nytt areal i kons</w:t>
      </w:r>
      <w:r>
        <w:t>e</w:t>
      </w:r>
      <w:r>
        <w:t xml:space="preserve">sjonsrundar er viktig for </w:t>
      </w:r>
      <w:proofErr w:type="gramStart"/>
      <w:r>
        <w:t>å</w:t>
      </w:r>
      <w:proofErr w:type="gramEnd"/>
      <w:r>
        <w:t xml:space="preserve"> leggje til rette for ein framhalden lønnsam leiteaktivitet på norsk sokkel, blant anna gjennom å medverke til effektiv ressursbruk i oljeselskapa. For </w:t>
      </w:r>
      <w:proofErr w:type="gramStart"/>
      <w:r>
        <w:t>å</w:t>
      </w:r>
      <w:proofErr w:type="gramEnd"/>
      <w:r>
        <w:t xml:space="preserve"> halde oppe ein godt utbygd infrastruktur, sysselsetjing, verdiskaping og statlege inntekter over tid, trengst det rege</w:t>
      </w:r>
      <w:r>
        <w:t>l</w:t>
      </w:r>
      <w:r>
        <w:t>messig store og små funn. Sjølv om det finst unntak, blir store funn oftast gjort i ein tidleg utfor</w:t>
      </w:r>
      <w:r>
        <w:t>s</w:t>
      </w:r>
      <w:r>
        <w:t xml:space="preserve">kingsfase. For å auke sannsynet for </w:t>
      </w:r>
      <w:proofErr w:type="gramStart"/>
      <w:r>
        <w:t>å</w:t>
      </w:r>
      <w:proofErr w:type="gramEnd"/>
      <w:r>
        <w:t xml:space="preserve"> gjere store, drivverdige funn er det derfor viktig å utforske også nye område, og at det blir gjort mens kompetansen er til stades. </w:t>
      </w:r>
    </w:p>
    <w:p w:rsidR="00880768" w:rsidRDefault="00880768" w:rsidP="00880768">
      <w:r>
        <w:t xml:space="preserve">Utdanning, forsking og innovasjon er viktig for </w:t>
      </w:r>
      <w:proofErr w:type="gramStart"/>
      <w:r>
        <w:t>utvikle</w:t>
      </w:r>
      <w:proofErr w:type="gramEnd"/>
      <w:r>
        <w:t xml:space="preserve"> den norske olje- og gassnæringa vidare, og er sentralt for å nå måla i petroleumspolitikken. Dei er viktige for å utnytte meir av ressursbasen, auke effektiviteten, redusere kostnader og oppnå endå reinare produksjon. Det er viktig å føre v</w:t>
      </w:r>
      <w:r>
        <w:t>i</w:t>
      </w:r>
      <w:r>
        <w:t>dare satsinga på petroleumsbasert forsking for å auke verdiskapinga, styrkje internasjonal konku</w:t>
      </w:r>
      <w:r>
        <w:t>r</w:t>
      </w:r>
      <w:r>
        <w:t>ransekraft og redusere klima- og miljøpåverknaden frå verksemda.</w:t>
      </w:r>
    </w:p>
    <w:p w:rsidR="00880768" w:rsidRDefault="00880768" w:rsidP="00880768">
      <w:r>
        <w:t>Dei siste åra, og særleg etter oljeprisfallet i 2014, er det gjennomført ei rekkje tiltak i næringa for å auke produktivitet og effektivitet og redusere kostnadsnivået. Tiltaka har gitt resultat og er synlege både i form av lågare investeringskostnader for nye prosjekt, reduserte kostnader på utvinning</w:t>
      </w:r>
      <w:r>
        <w:t>s</w:t>
      </w:r>
      <w:r>
        <w:t xml:space="preserve">brønnar på felt i drift og i reduserte drifts- og leitekostnader. </w:t>
      </w:r>
      <w:proofErr w:type="gramStart"/>
      <w:r>
        <w:t>Å</w:t>
      </w:r>
      <w:proofErr w:type="gramEnd"/>
      <w:r>
        <w:t xml:space="preserve"> halde oppe og føre vidare fokuset på kostnadseffektivet vil vere eit viktig bidrag for å sikre norsk sokkel sin konkurransekraft i fra</w:t>
      </w:r>
      <w:r>
        <w:t>m</w:t>
      </w:r>
      <w:r>
        <w:t xml:space="preserve">tida. Dette inneber å sikre eit tilstrekkeleg tal berekraftige tilbydarar av leverandørtenester innan alle segment av næringa, samtidig som langsiktig konkurranse tilbydarane imellom blir teken vare på for å få fram gode og kostnadseffektive løysingar. </w:t>
      </w:r>
    </w:p>
    <w:p w:rsidR="00880768" w:rsidRDefault="00880768" w:rsidP="00880768">
      <w:r>
        <w:t xml:space="preserve">Dersom styresmaktene legg til rette med stabile og føreseielege rammevilkår, tildeling av nytt areal og satsing på forsking og utvikling, og dersom næringa lykkast med </w:t>
      </w:r>
      <w:proofErr w:type="gramStart"/>
      <w:r>
        <w:t>å</w:t>
      </w:r>
      <w:proofErr w:type="gramEnd"/>
      <w:r>
        <w:t xml:space="preserve"> gjere nye funn, maksimere verdien av ressursane og gjennomføre leiting, utbygging og drift kostnadseffektivt, vil eit høgt a</w:t>
      </w:r>
      <w:r>
        <w:t>k</w:t>
      </w:r>
      <w:r>
        <w:t xml:space="preserve">tivitetsnivå på norsk sokkel kunne vare ved i lang tid framover. Dette vil gi gode moglegheiter for leverandørindustrien og sikre arbeidsplassar med kompetanse over heile landet. I lys av olje- og </w:t>
      </w:r>
      <w:proofErr w:type="gramStart"/>
      <w:r>
        <w:t>gassnæringa sine</w:t>
      </w:r>
      <w:proofErr w:type="gramEnd"/>
      <w:r>
        <w:t xml:space="preserve"> kapitalkrevjande investeringar vil dette medverke til å halde ved lag og auke kompetansen i petroleumsrelaterte næringar samtidig som teknologioverføring og læringsprosessar til ikkje-petroleumsrelaterte næringar kan halde fram. Dette samspelet vil medverke til ein breiare, meir robust og kunnskapsrik næringsstruktur over heile landet.</w:t>
      </w:r>
    </w:p>
    <w:p w:rsidR="00880768" w:rsidRDefault="00880768" w:rsidP="00880768">
      <w:r>
        <w:lastRenderedPageBreak/>
        <w:t>Med bakgrunn i ovannemnde er oppmodingsvedtaket vurdert som følgt opp. Olje- og gassver</w:t>
      </w:r>
      <w:r>
        <w:t>k</w:t>
      </w:r>
      <w:r>
        <w:t>semd er ei verksemd med kontinuerlege utfordringar som følgje av endringar i olje- og gassmar</w:t>
      </w:r>
      <w:r>
        <w:t>k</w:t>
      </w:r>
      <w:r>
        <w:t>nadene og som følgje av endringar i geologiske og teknologiske forhold knytt til feltutbyggingar. Næringa er derfor kontinuerleg utsett for omstilling og omstruktureringar, noko som er nødvendig for å utvikle og halde ved lag både sunn konkurranse, konkurransekraft og verdiskaping. Det er næringa sjølv som må identifisere og reagere på utviklingstrekk som fører til omstilling og o</w:t>
      </w:r>
      <w:r>
        <w:t>m</w:t>
      </w:r>
      <w:r>
        <w:t>struktureringar. Det er ikkje identifisert behov for tiltak frå styresmaktene si side i denne sama</w:t>
      </w:r>
      <w:r>
        <w:t>n</w:t>
      </w:r>
      <w:r>
        <w:t>hengen. Olje- og energidepartementet vil likevel følgje utviklinga i dei ulike delane av næringa for å sikre lønnsam produksjon av olje og gass på norsk kontinentalsokkel i eit langsiktig perspektiv.</w:t>
      </w:r>
    </w:p>
    <w:p w:rsidR="00880768" w:rsidRDefault="00880768" w:rsidP="00880768">
      <w:pPr>
        <w:pStyle w:val="Overskrift1"/>
      </w:pPr>
      <w:r>
        <w:t>Utjamning av nettariffane i Noreg</w:t>
      </w:r>
    </w:p>
    <w:p w:rsidR="00880768" w:rsidRDefault="00880768" w:rsidP="00880768">
      <w:r>
        <w:t>Auka straumforbruk og endra forbruksmønster gir auka belastning på straumnettet. Kostnadene ved utbetringar og utbyggingar av straumnettet blir belasta hushald, næringsliv og industri som brukar nettet.</w:t>
      </w:r>
    </w:p>
    <w:p w:rsidR="00880768" w:rsidRDefault="00880768" w:rsidP="00880768">
      <w:r>
        <w:t>Elektrisitet erstattar fossile energikjelder i fleire sektorar. Elektriske løysingar er ofte energieffe</w:t>
      </w:r>
      <w:r>
        <w:t>k</w:t>
      </w:r>
      <w:r>
        <w:t xml:space="preserve">tive og medverkar til å dempe veksten i den totale energibruken. Det er vanskeleg eksakt </w:t>
      </w:r>
      <w:proofErr w:type="gramStart"/>
      <w:r>
        <w:t>å</w:t>
      </w:r>
      <w:proofErr w:type="gramEnd"/>
      <w:r>
        <w:t xml:space="preserve"> føresjå dei samla konsekvensane for kraftsystemet av endringane som no skjer. Generelt ligg det an til ein god forsyningssituasjon framover. Samtidig er det relativt store forskjellar rundt i landet med tanke på evna til </w:t>
      </w:r>
      <w:proofErr w:type="gramStart"/>
      <w:r>
        <w:t>å</w:t>
      </w:r>
      <w:proofErr w:type="gramEnd"/>
      <w:r>
        <w:t xml:space="preserve"> dekkje ei aukande effektbelastning på lågare nettnivå og til å handtere større svikt i tilsig ved samtidige hendingar i kraftsystemet. </w:t>
      </w:r>
    </w:p>
    <w:p w:rsidR="00880768" w:rsidRDefault="00880768" w:rsidP="00880768">
      <w:r>
        <w:t>God forsyningstryggleik krev at kraftnettet er dimensjonert etter effekttoppane. Etter tiår med rel</w:t>
      </w:r>
      <w:r>
        <w:t>a</w:t>
      </w:r>
      <w:r>
        <w:t xml:space="preserve">tivt låge investeringar i kraftnettet, er vi no inne i ein periode med store investeringar, mellom anna på grunn av auka venta effektbruk. Nye teknologiar kan medverke til at vi unngår eller utset nokre av desse investeringane. Det kan spare samfunnet for betydelege kostnader. </w:t>
      </w:r>
    </w:p>
    <w:p w:rsidR="00880768" w:rsidRDefault="00880768" w:rsidP="00880768">
      <w:r>
        <w:t>I dei fleste forsyningsområde fell maksimalt effektuttak saman med tidspunkt for når varmebehovet i bygningsmassen er størst. Energieffektivisering medverkar til mindre varmebehov, og fjernvarme eller installasjon av f.eks. væske-til-væske varmepumpe kan redusere effekttoppar. Byggjeforskri</w:t>
      </w:r>
      <w:r>
        <w:t>f</w:t>
      </w:r>
      <w:r>
        <w:t xml:space="preserve">tene i Noreg er strenge, og krav til bygg sitt varmebehov medverkar til å dempe effektuttaket. </w:t>
      </w:r>
    </w:p>
    <w:p w:rsidR="00880768" w:rsidRDefault="00880768" w:rsidP="00880768">
      <w:r>
        <w:t>I løpet av 2018 skal alle bustader og fritidsbustader vere utstyrt med AMS-målarar. Målarane vil gi auka informasjon om energi- og effektbruk. Dette vil gi betre høve til å styre straumbruken. I ko</w:t>
      </w:r>
      <w:r>
        <w:t>m</w:t>
      </w:r>
      <w:r>
        <w:t xml:space="preserve">binasjon med ny teknologi og nye energitenester, vil AMS leggje til rette for at det blir enklare, også for vanlege hushald, å flytte noko forbruk til tider der nettet er mindre belasta. Til dømes kan ein med smarte styringssystem sørgje for at elbilen automatisk ladar batteriet om natta, eller at varmtvasstank og varmekablar midlertidig vert slått av når anna forbruk er høgt. </w:t>
      </w:r>
    </w:p>
    <w:p w:rsidR="00880768" w:rsidRDefault="00880768" w:rsidP="00880768">
      <w:r>
        <w:t xml:space="preserve">Det er viktig at sluttbrukarar er klar over kostnadene ved høgt effektuttak dersom dei skal gjere tiltak for å redusere effektbruken. Noregs vassdrags- og energidirektorat (NVE) si regulering av straumnettet skal medverke til effektiv drift og utbygging av nettet, og til at kostnadene som blir belasta straumkundane ikkje blir høgare enn nødvendig. NVE sitt arbeid med effekttariffering er ein viktig del av dette. </w:t>
      </w:r>
    </w:p>
    <w:p w:rsidR="00880768" w:rsidRDefault="00880768" w:rsidP="00880768">
      <w:r>
        <w:t xml:space="preserve">Også spørsmålet om utjamning av nettariffar må sjåast i samanheng med kva reguleringar og tiltak som samla medverkar til lågast kostnader og eit mest mogleg effektivt straumnett. </w:t>
      </w:r>
    </w:p>
    <w:p w:rsidR="00880768" w:rsidRDefault="00880768" w:rsidP="00880768">
      <w:r>
        <w:t xml:space="preserve">I 2010 gjennomførte NVE ei utgreiing av den samla reguleringa av kraftnettet, og under </w:t>
      </w:r>
      <w:proofErr w:type="gramStart"/>
      <w:r>
        <w:t>dette</w:t>
      </w:r>
      <w:proofErr w:type="gramEnd"/>
      <w:r>
        <w:t xml:space="preserve"> u</w:t>
      </w:r>
      <w:r>
        <w:t>t</w:t>
      </w:r>
      <w:r>
        <w:t xml:space="preserve">jamning av tariffar. Departementet har </w:t>
      </w:r>
      <w:proofErr w:type="gramStart"/>
      <w:r>
        <w:t>bede</w:t>
      </w:r>
      <w:proofErr w:type="gramEnd"/>
      <w:r>
        <w:t xml:space="preserve"> NVE oppdatere talgrunnlaget og vurdere om det har skjedd relevante endringar i føresetnadene for konklusjonen som gjeld tariffutjamning i 2010-rapporten, og eventuelt oppdatere konklusjonen basert på funna.</w:t>
      </w:r>
    </w:p>
    <w:p w:rsidR="00880768" w:rsidRDefault="00880768" w:rsidP="00880768">
      <w:r>
        <w:lastRenderedPageBreak/>
        <w:t xml:space="preserve">Vidare har departementet </w:t>
      </w:r>
      <w:proofErr w:type="gramStart"/>
      <w:r>
        <w:t>bede</w:t>
      </w:r>
      <w:proofErr w:type="gramEnd"/>
      <w:r>
        <w:t xml:space="preserve"> NVE vurdere om tariffen til kundar i distribusjonsnettet i område med mykje fornybar produksjon med innmating i regionalnettet er høgare enn tariffen i andre o</w:t>
      </w:r>
      <w:r>
        <w:t>m</w:t>
      </w:r>
      <w:r>
        <w:t xml:space="preserve">råde av landet på grunn av denne fornybare produksjonen. </w:t>
      </w:r>
    </w:p>
    <w:p w:rsidR="00880768" w:rsidRDefault="00880768" w:rsidP="00880768">
      <w:pPr>
        <w:pStyle w:val="Overskrift2"/>
      </w:pPr>
      <w:r>
        <w:t>Utvikling i nettstruktur</w:t>
      </w:r>
    </w:p>
    <w:p w:rsidR="00880768" w:rsidRDefault="00880768" w:rsidP="00880768">
      <w:r>
        <w:t>I perioden frå 2007 til 2018 er talet på nettselskap redusert frå 158 til 121 inkludert Statnett SF. Reduksjonen i tal nettselskap skuldast i stor grad at små vertikalt integrerte selskap (nettselskap med kraftproduksjon og/eller kraftomsetning), selskap utan distribusjonsnett eller selskap hovu</w:t>
      </w:r>
      <w:r>
        <w:t>d</w:t>
      </w:r>
      <w:r>
        <w:t>sakleg med anna næring enn nettverksemd har blitt fusjonerte inn i eller selde til større omkringli</w:t>
      </w:r>
      <w:r>
        <w:t>g</w:t>
      </w:r>
      <w:r>
        <w:t xml:space="preserve">gjande nettselskap. </w:t>
      </w:r>
    </w:p>
    <w:p w:rsidR="00880768" w:rsidRDefault="00880768" w:rsidP="00880768">
      <w:r>
        <w:t>Ved utgangen av 2016 var det 133 selskap, der 102 hadde færre enn 30 000 abonnentar i distrib</w:t>
      </w:r>
      <w:r>
        <w:t>u</w:t>
      </w:r>
      <w:r>
        <w:t xml:space="preserve">sjonsnettet, åtte hadde mellom 30 000 og 100 000 abonnentar og sju hadde fleire enn 100 000 abonnentar. 15 av desse nettselskapa eigde hovudsakleg regional- eller sentralnett, og hadde ikkje abonnentar i distribusjonsnettet. </w:t>
      </w:r>
    </w:p>
    <w:p w:rsidR="00880768" w:rsidRDefault="00880768" w:rsidP="00880768">
      <w:r>
        <w:t>Stortinget vedtok i 2016 krav om selskapsmessig og funksjonelt skilje for alle selskap med net</w:t>
      </w:r>
      <w:r>
        <w:t>t</w:t>
      </w:r>
      <w:r>
        <w:t>verksemd innan 2021. Det inneber blant anna at nettselskapa skal skiljast ut i eigne selskap som ikkje driv med anna verksemd. Prosessen i forkant av vedtaket har truleg forsterka reduksjonen i talet på vertikalt integrerte nettselskap. Stortinget ba i mars 2018 regjeringa leggje fram forslag til ei ny lovendring slik at nettselskap med under 30 000 abonnentar får fritak frå det funksjonelle skiljet.</w:t>
      </w:r>
    </w:p>
    <w:p w:rsidR="00880768" w:rsidRDefault="00880768" w:rsidP="00880768">
      <w:pPr>
        <w:pStyle w:val="Overskrift2"/>
      </w:pPr>
      <w:r>
        <w:t>Utvikling av nettariffar</w:t>
      </w:r>
    </w:p>
    <w:p w:rsidR="00880768" w:rsidRDefault="00880768" w:rsidP="00880768">
      <w:pPr>
        <w:pStyle w:val="Overskrift3"/>
      </w:pPr>
      <w:r>
        <w:t>Nettleigeutvikling</w:t>
      </w:r>
    </w:p>
    <w:p w:rsidR="00880768" w:rsidRDefault="00880768" w:rsidP="00880768">
      <w:r>
        <w:t xml:space="preserve">Nettleiga til hushald har dei </w:t>
      </w:r>
      <w:proofErr w:type="gramStart"/>
      <w:r>
        <w:t>siste 25 åra</w:t>
      </w:r>
      <w:proofErr w:type="gramEnd"/>
      <w:r>
        <w:t xml:space="preserve"> vore relativt stabil og har hovudsakleg følgt normal pri</w:t>
      </w:r>
      <w:r>
        <w:t>s</w:t>
      </w:r>
      <w:r>
        <w:t>stigning. Auken i elavgift og meirverdiavgift har likevel medført ein viss auke i gjennomsnittleg nettleige per kWh i perioden. Figur 12.1 viser utviklinga i gjennomsnittleg nettleige i nominelle og reelle prisar frå 1993 fram til i dag, med og utan elavgift og meirverdiavgift (mva).</w:t>
      </w:r>
    </w:p>
    <w:p w:rsidR="00880768" w:rsidRDefault="005A2B4F" w:rsidP="005A2B4F">
      <w:pPr>
        <w:pStyle w:val="Figur"/>
      </w:pPr>
      <w:r>
        <w:t>[:figur:figX-X.jpg]</w:t>
      </w:r>
    </w:p>
    <w:p w:rsidR="00880768" w:rsidRDefault="00880768" w:rsidP="00880768">
      <w:pPr>
        <w:pStyle w:val="figur-tittel"/>
      </w:pPr>
      <w:r>
        <w:t xml:space="preserve">Vekta gjennomsnitt av hushaldstariffane i Noreg frå 1993 til i dag </w:t>
      </w:r>
    </w:p>
    <w:p w:rsidR="00880768" w:rsidRDefault="00880768" w:rsidP="00880768">
      <w:pPr>
        <w:pStyle w:val="figur-noter"/>
      </w:pPr>
      <w:r>
        <w:t>Hushaldstariffen består av eit fastledd (kr/år) og eit bruksavhengig energiledd (øre/kWh). I statistikken er tariffen o</w:t>
      </w:r>
      <w:r>
        <w:t>m</w:t>
      </w:r>
      <w:r>
        <w:t>rekna til øre/kWh der det er føresett eit forbruk på 20 000 kWh per år</w:t>
      </w:r>
    </w:p>
    <w:p w:rsidR="00880768" w:rsidRDefault="00880768" w:rsidP="00880768">
      <w:r>
        <w:t>Nettselskapa er inne i ein periode med store investeringar, og det er venta at nettleiga kan auke meir enn normal prisutvikling i åra som kjem. I NVEs rapport 2018:55 ventar NVE investeringar i bransjen for om lag 140 mrd. kroner i perioden 2017–2025. NVEs berekningar anslår at nettleiga vil stige med om lag 30 prosent (nominelt) eller 11 prosent reelt i denne perioden.</w:t>
      </w:r>
    </w:p>
    <w:p w:rsidR="00880768" w:rsidRDefault="00880768" w:rsidP="00880768">
      <w:pPr>
        <w:pStyle w:val="Overskrift3"/>
      </w:pPr>
      <w:r>
        <w:t>Forskjellar i nettkostnad mellom nettselskap</w:t>
      </w:r>
    </w:p>
    <w:p w:rsidR="00880768" w:rsidRDefault="00880768" w:rsidP="00880768">
      <w:r>
        <w:t>Det er fleire forhold som forklarer forskjellen i nettleige mellom ulike nettselskap. Ein viktig faktor er forskjellar i selskapa sine nettkostnader, og dermed forskjellar i inntektsramme (fastsett av NVE) og grunnlaget for fastsetjing av nettleige. Inntektsramma til selskapa er påverka av blant anna n</w:t>
      </w:r>
      <w:r>
        <w:t>a</w:t>
      </w:r>
      <w:r>
        <w:t>turgitte forhold som klima, topografi, alder på nettet, og selskapa sitt kostnadsnivå samanlikna med andre selskap.</w:t>
      </w:r>
    </w:p>
    <w:p w:rsidR="00880768" w:rsidRDefault="00880768" w:rsidP="00880768">
      <w:r>
        <w:t>Regelverket gir selskapa ein viss fridom i tariffutforminga, og det er variasjonar i tariffstrukturen mellom selskapa. Til dømes kan nettselskapa velje ulike fordelingar mellom nærings-, fritidsb</w:t>
      </w:r>
      <w:r>
        <w:t>u</w:t>
      </w:r>
      <w:r>
        <w:lastRenderedPageBreak/>
        <w:t xml:space="preserve">stad- og hushaldstariffar, eller ha ulik fordeling mellom effektledd, energiledd og fastledd. For at nettleiga i ulike nettselskap skal kunne samanliknast, ser ein derfor på nettkostnaden (øre/kWh). Nettkostnaden blir utrekna ved å dividere </w:t>
      </w:r>
      <w:proofErr w:type="gramStart"/>
      <w:r>
        <w:t>nettselskapet sine</w:t>
      </w:r>
      <w:proofErr w:type="gramEnd"/>
      <w:r>
        <w:t xml:space="preserve"> tillatne inntekter frå sluttbrukarane i distribusjonsnettet med levert mengde i kWh til dei same sluttbrukarane. </w:t>
      </w:r>
    </w:p>
    <w:p w:rsidR="00880768" w:rsidRDefault="00880768" w:rsidP="00880768">
      <w:r>
        <w:t xml:space="preserve">Nettselskapa sine nettkostnader kan variere relativt mykje frå år til år, blant anna grunna handtering av pensjonskostnader, noko som gjer at dei er mindre eigna til </w:t>
      </w:r>
      <w:proofErr w:type="gramStart"/>
      <w:r>
        <w:t>å</w:t>
      </w:r>
      <w:proofErr w:type="gramEnd"/>
      <w:r>
        <w:t xml:space="preserve"> seie noko om kostnadsutvikling frå år til år. Likevel er kostnadsforskjellane mellom selskap over tid relativt stabile.</w:t>
      </w:r>
    </w:p>
    <w:p w:rsidR="00880768" w:rsidRDefault="00880768" w:rsidP="00880768">
      <w:r>
        <w:t>Nettkostnaden inkluderer ikkje mva og elavgift. Finnmark og nokre kommunar i Troms er fritekne frå elavgift og Nordland, Troms og Finnmark er fritekne frå mva. Ulik praksis vedrørande eig</w:t>
      </w:r>
      <w:r>
        <w:t>e</w:t>
      </w:r>
      <w:r>
        <w:t>domsskatt vil kunne medføre ulikskapar i nettariffar mellom sluttkundar i dei ulike kommunane. Eigedomsskatt utgjer likevel ein liten del av den totale nettkostnaden.</w:t>
      </w:r>
    </w:p>
    <w:p w:rsidR="00880768" w:rsidRDefault="00880768" w:rsidP="00880768">
      <w:r>
        <w:t>NVEs utgreiing viser at forskjellane i nettkostnader har auka noko sidan 2010. Dette skuldast i stor grad at selskapa med låge kostnader per kWh har redusert kostnadene, mens selskap med høge nettkostnader har omtrent same kostnad per kWh i 2016 som i 2010, korrigert for inflasjon. H</w:t>
      </w:r>
      <w:r>
        <w:t>o</w:t>
      </w:r>
      <w:r>
        <w:t xml:space="preserve">vudsakleg har selskap med flest kundar også lågast nettkostnad. </w:t>
      </w:r>
    </w:p>
    <w:p w:rsidR="00880768" w:rsidRDefault="00880768" w:rsidP="00880768">
      <w:r>
        <w:t>Samtidig har differansen mellom dei reine nettselskapa og dei vertikalt integrerte nettselskapa auka. Figur 12.2 viser realprisutvikling i nettkostnaden i perioden 2010–2016 for selskapsmessig skilte nettselskap, vertikalt integrerte nettselskap og for bransjen totalt. Sidan 2012 har differansen i vekta nettkostnad mellom selskapsmessig skilte og vertikalt integrerte selskap auka kvart år. Sidan 2012 har dei reine nettselskapa redusert den vekta nettkostnaden med seks prosent, tilsvarande ein reduksjon på 1,6 øre/kWh. Dei vertikalt integrerte selskapa har auka kostnaden med sju prosent, som svarer til ein auke på 2,5 øre/kWh.</w:t>
      </w:r>
    </w:p>
    <w:p w:rsidR="00880768" w:rsidRDefault="005A2B4F" w:rsidP="005A2B4F">
      <w:pPr>
        <w:pStyle w:val="Figur"/>
      </w:pPr>
      <w:r>
        <w:t>[:figur:figX-X.jpg]</w:t>
      </w:r>
    </w:p>
    <w:p w:rsidR="00880768" w:rsidRDefault="00880768" w:rsidP="00880768">
      <w:pPr>
        <w:pStyle w:val="figur-tittel"/>
      </w:pPr>
      <w:r>
        <w:t>Utvikling i nettkostnad frå 2007 til 2016 (KPI-justert)</w:t>
      </w:r>
    </w:p>
    <w:p w:rsidR="00880768" w:rsidRDefault="00880768" w:rsidP="00880768">
      <w:r>
        <w:t>NVE ser at forskjellane i nettkostnader per kWh mellom dei større nettselskapa og dei mindre nettselskapa har auka noko i perioden 2010 til 2016. Det er gjennomført fleire samanslåingar av nettselskap i perioden, og fleire samanslåingar er blitt gjennomførte etter 2016, eller er i ferd med å bli gjennomførte. Dette har ein utjamnande effekt på nettkostnadene.</w:t>
      </w:r>
    </w:p>
    <w:p w:rsidR="00880768" w:rsidRDefault="00880768" w:rsidP="00880768">
      <w:r>
        <w:t xml:space="preserve">Fusjonane som er gjennomførte eller er i ferd med å bli gjennomførte har i stor grad medført at selskapa med dei høgaste nettkostnadene får ein betydeleg reduksjon i gjennomsnittleg nettkostnad og dermed også i tariffen til kundane sine, mens nettselskapet med dei lågaste nettkostnadene får ein mindre auke i gjennomsnittlege nettkostnader. Dette skuldast at det i hovudsak har vore dei større selskapa som har hatt dei lågaste nettkostnadene. </w:t>
      </w:r>
    </w:p>
    <w:p w:rsidR="00880768" w:rsidRDefault="00880768" w:rsidP="00880768">
      <w:pPr>
        <w:pStyle w:val="Overskrift2"/>
      </w:pPr>
      <w:r>
        <w:t>Samanheng mellom tariffar til kundar i distribusjonsnettet og innmating i regionalnettet</w:t>
      </w:r>
    </w:p>
    <w:p w:rsidR="00880768" w:rsidRDefault="00880768" w:rsidP="00880768">
      <w:r>
        <w:t xml:space="preserve">Nettleiga skal gi inntekter innanfor </w:t>
      </w:r>
      <w:proofErr w:type="gramStart"/>
      <w:r>
        <w:t>selskapa si</w:t>
      </w:r>
      <w:proofErr w:type="gramEnd"/>
      <w:r>
        <w:t xml:space="preserve"> tillatne inntekt, der både eiga inntektsramme og kostnader til overliggjande nett inngår. For distribusjonsnett vil forskjellar i både kostnader og praksis i overliggjande regionalnett, kunne føre til variasjonar i elles like distribusjonsnett. </w:t>
      </w:r>
    </w:p>
    <w:p w:rsidR="00880768" w:rsidRDefault="00880768" w:rsidP="00880768">
      <w:r>
        <w:t>Det skjer innmating frå produksjon på alle nettnivå. Produksjon blir tariffert eit energiledd basert på marginaltapet i kvart enkelt punkt og eit fastledd. Fastleddet (vidare kalla innmatingstariffen) er av konkurranseomsyn likt for alle produsentar (for tida 1,3 øre/kWh), uavhengig av nettnivå.</w:t>
      </w:r>
    </w:p>
    <w:p w:rsidR="00880768" w:rsidRDefault="00880768" w:rsidP="00880768">
      <w:r>
        <w:t xml:space="preserve">Selskap i transmisjons- og distribusjonsnett beheld inntektene frå innmatingstariffen til dekning av kostnadene der. Det betyr at uttakskundar der må dekkje ein mindre del av nettselskapa si tillatne </w:t>
      </w:r>
      <w:r>
        <w:lastRenderedPageBreak/>
        <w:t>inntekt. Selskap i regionalnettet fører innmatingstariffen som ei tariffinntekt, men tilsvarande beløp kjem som kostnad til overliggjande nett. Det vil seie at innmatingstariffen blir ført vidare til tran</w:t>
      </w:r>
      <w:r>
        <w:t>s</w:t>
      </w:r>
      <w:r>
        <w:t xml:space="preserve">misjonsnettet. </w:t>
      </w:r>
    </w:p>
    <w:p w:rsidR="00880768" w:rsidRDefault="00880768" w:rsidP="00880768">
      <w:r>
        <w:t>Gitt at produksjon knytt til regionalnettet medfører auka kostnader i regionalnettet, vil dette me</w:t>
      </w:r>
      <w:r>
        <w:t>d</w:t>
      </w:r>
      <w:r>
        <w:t xml:space="preserve">føre auka inntektsramme i regionalnettet. Dette vil, alt anna likt, gi auka tariffkostnader for aktørar knytte til dette nettet, som industrikundar eller distribusjonsnett. Auka overliggjande nettkostnader for distribusjonsnetta vil igjen, alt anna likt, medføre auka tariffar for kundane i distribusjonsnettet. </w:t>
      </w:r>
    </w:p>
    <w:p w:rsidR="00880768" w:rsidRDefault="00880768" w:rsidP="00880768">
      <w:r>
        <w:t>NVE har utført fleire berekningar, og det er ikkje funne nokon signifikant samanheng mellom in</w:t>
      </w:r>
      <w:r>
        <w:t>n</w:t>
      </w:r>
      <w:r>
        <w:t xml:space="preserve">mata produksjon i regionalnettet og nettkostnad per kWh i distribusjonsnettet. Det er derfor ikkje hald i påstandar som at område med mykje produksjon må betale ei høg nettleige for å forsyne område av landet utan produksjon. NVE sine berekningar viser at variasjonen i nettkostnadene mellom nettselskap skuldast andre forhold, som for eksempel topografi og lengda av høgspentnett. </w:t>
      </w:r>
    </w:p>
    <w:p w:rsidR="00880768" w:rsidRDefault="00880768" w:rsidP="00880768">
      <w:r>
        <w:t>Ein grunn til at mykje innmating i regionalnettet ikkje synest å gi auka nettkostnader, er at Statnett gir ein redusert tariff gjennom den såkalla k-faktormodellen til regionalnett med høg tilgjengeleg vintereffekt (produksjon) i forhold til forbruk. Statnetts k-faktormodell inneber at ved samlokalis</w:t>
      </w:r>
      <w:r>
        <w:t>e</w:t>
      </w:r>
      <w:r>
        <w:t xml:space="preserve">ring av produksjon og forbruk blir regionalnett belasta ein mindre del av dei faste kostnadene i transmisjonsnettet. </w:t>
      </w:r>
    </w:p>
    <w:p w:rsidR="00880768" w:rsidRDefault="00880768" w:rsidP="00880768">
      <w:r>
        <w:t>Statnetts grunngiving for å ta omsyn til samlokalisering av produksjon og forbruk har tidlegare vore at det vil vere eit mindre behov for overføringslinjer for å overføre uttak eller innmating til det aktuelle punktet, og at dette medfører kostnadsbesparingar i det samla nettsystemet og fører til ei meir effektiv utnytting av nettet.</w:t>
      </w:r>
    </w:p>
    <w:p w:rsidR="00880768" w:rsidRDefault="00880768" w:rsidP="00880768">
      <w:r>
        <w:t>Dette inneber at sjølv om regionalnettet skulle fått ei auka inntektsramme som følgje av produ</w:t>
      </w:r>
      <w:r>
        <w:t>k</w:t>
      </w:r>
      <w:r>
        <w:t>sjonen i regionalnettet, er det ikkje gitt at dette medfører ei auka tillaten inntekt i regionalnettet då det er gitt ein reduksjon i tariffen til overliggjande nett (transmisjonsnettet) gjennom k-faktormodellen. Det er likevel eit øvre tak for kor stor denne tariffreduksjonen kan bli. Dette i</w:t>
      </w:r>
      <w:r>
        <w:t>n</w:t>
      </w:r>
      <w:r>
        <w:t xml:space="preserve">neber at i uttakspunkt med så mykje produksjon at reduksjonsfaktoren er maksimal, vil produksjon som medfører auka regionalnettskostnader òg føre til auka kostnader i distribusjonsnettet. </w:t>
      </w:r>
    </w:p>
    <w:p w:rsidR="00880768" w:rsidRDefault="00880768" w:rsidP="00880768">
      <w:pPr>
        <w:pStyle w:val="Overskrift3"/>
      </w:pPr>
      <w:r>
        <w:t>Framtidige endringar som kan ha påverknad på samanhengen mellom tariffar til kundar i distribusjonsnettet og innmating i regionalnettet</w:t>
      </w:r>
    </w:p>
    <w:p w:rsidR="00880768" w:rsidRDefault="00880768" w:rsidP="00880768">
      <w:r>
        <w:t xml:space="preserve">Statnett er ansvarleg for utforming og fastsetjing av tariffar i transmisjonsnettet. Tariffane må vere i tråd med dei prinsippa som følgjer av lover og forskrifter. Statnett arbeider no med </w:t>
      </w:r>
      <w:proofErr w:type="gramStart"/>
      <w:r>
        <w:t>å</w:t>
      </w:r>
      <w:proofErr w:type="gramEnd"/>
      <w:r>
        <w:t xml:space="preserve"> fastsetje ny tariffmodell frå 2020, og har hatt ein rapport på høyring om moglege endringar</w:t>
      </w:r>
      <w:r>
        <w:rPr>
          <w:vertAlign w:val="superscript"/>
        </w:rPr>
        <w:footnoteReference w:id="19"/>
      </w:r>
      <w:r>
        <w:t>. Endringar i t</w:t>
      </w:r>
      <w:r>
        <w:t>a</w:t>
      </w:r>
      <w:r>
        <w:t xml:space="preserve">riffmodellen i transmisjonsnettet kan vere av betydning for samanhengen mellom innmating av produksjon i regionalnettet og tariffkostnader til og i distribusjonsnettet. </w:t>
      </w:r>
    </w:p>
    <w:p w:rsidR="00880768" w:rsidRDefault="00880768" w:rsidP="00880768">
      <w:r>
        <w:t xml:space="preserve">Frå 1. januar 2019 trer nye reglar om bruk av anleggsbidrag i kraft. Reglane inneber at nettselskapa skal fastsetje og krevje inn anleggsbidrag i regional- og transmisjonsnettet. På dette nettnivået har det tidlegare vore begrensa høve til </w:t>
      </w:r>
      <w:proofErr w:type="gramStart"/>
      <w:r>
        <w:t>å</w:t>
      </w:r>
      <w:proofErr w:type="gramEnd"/>
      <w:r>
        <w:t xml:space="preserve"> krevje at kundar betaler anleggsbidrag. Over tid vil forslaget medverke til at nettleiga ikkje aukar meir enn nødvendig, og kostnadene ved å utvikle nettet blir delte meir rimeleg mellom kundane som utløyser investeringane og nettselskapa andre kundar. Endringa vil, alt anna likt, gi lågare framtidige kostnader i regionalnett med mykje ny produksjon.</w:t>
      </w:r>
    </w:p>
    <w:p w:rsidR="00880768" w:rsidRDefault="00880768" w:rsidP="00880768">
      <w:pPr>
        <w:pStyle w:val="Overskrift2"/>
      </w:pPr>
      <w:r>
        <w:lastRenderedPageBreak/>
        <w:t>Modellar for tariffutjamning</w:t>
      </w:r>
    </w:p>
    <w:p w:rsidR="00880768" w:rsidRDefault="00880768" w:rsidP="00880768">
      <w:r>
        <w:t>Den økonomiske reguleringa av nettselskapa byggjer på prinsippet om at nettselskapa er profit</w:t>
      </w:r>
      <w:r>
        <w:t>t</w:t>
      </w:r>
      <w:r>
        <w:t>maksimerande, det vil seie at dei har som målsetjing å generere størst mogleg overskot, gitt at dei oppfyller krav gitt i lov og forskrifter om leveringsplikt, leveringskvalitet, beredskap med meir. Reguleringa legg derfor opp til at selskap som er effektive, ved å levere god kvalitet til lågast mo</w:t>
      </w:r>
      <w:r>
        <w:t>g</w:t>
      </w:r>
      <w:r>
        <w:t xml:space="preserve">leg kostnader, vil få eit større overskot frå nettverksemda over tid. Dersom nettselskapet aukar kostnadene vil avkastninga, alt anna likt, bli redusert. </w:t>
      </w:r>
    </w:p>
    <w:p w:rsidR="00880768" w:rsidRDefault="00880768" w:rsidP="00880768">
      <w:r>
        <w:t>Dagens modell for økonomisk regulering av nettselskapa gjer at avkastninga ikkje blir redusert tilsvarande kostnadsauken. I dei fleste tilfelle vil avkastninga bli redusert med 60 prosent av kos</w:t>
      </w:r>
      <w:r>
        <w:t>t</w:t>
      </w:r>
      <w:r>
        <w:t xml:space="preserve">nadsauken. Resten av kostnadsauken vil bli velta over på </w:t>
      </w:r>
      <w:proofErr w:type="gramStart"/>
      <w:r>
        <w:t>nettselskapet sine</w:t>
      </w:r>
      <w:proofErr w:type="gramEnd"/>
      <w:r>
        <w:t xml:space="preserve"> kundar gjennom auka nettleige. Denne koplinga mellom nettselskapet sine eigne kostnader og nettleiga til </w:t>
      </w:r>
      <w:proofErr w:type="gramStart"/>
      <w:r>
        <w:t>nettselskapet sine</w:t>
      </w:r>
      <w:proofErr w:type="gramEnd"/>
      <w:r>
        <w:t xml:space="preserve"> kundar er eit viktig supplement til NVEs økonomiske regulering, og medverkar til å hindre at selskapa har unødvendig høge kostnader. Auke i nettleiga kan for eksempel medføre auka pågang frå misnøgde kundar og negativ merksemd i media. </w:t>
      </w:r>
    </w:p>
    <w:p w:rsidR="00880768" w:rsidRDefault="00880768" w:rsidP="00880768">
      <w:r>
        <w:t xml:space="preserve">Ei ordning med tariffutjamning vil, heilt eller delvis, fjerne den sjølvregulerande mekanismen som koplinga i dag mellom nettselskapet sine kostnader og kundane si nettleige inneber. Dette vil svekkje nettselskapet sitt insentiv til </w:t>
      </w:r>
      <w:proofErr w:type="gramStart"/>
      <w:r>
        <w:t>å</w:t>
      </w:r>
      <w:proofErr w:type="gramEnd"/>
      <w:r>
        <w:t xml:space="preserve"> gjere oppofringar for å spare kostnader eller unngå kos</w:t>
      </w:r>
      <w:r>
        <w:t>t</w:t>
      </w:r>
      <w:r>
        <w:t>nadsauke.</w:t>
      </w:r>
    </w:p>
    <w:p w:rsidR="00880768" w:rsidRDefault="00880768" w:rsidP="00880768">
      <w:r>
        <w:t xml:space="preserve">Dette forholdet kan vere av særleg betydning dersom nettselskapet har offentlege eigarar som har fleire målsetjingar, slik som </w:t>
      </w:r>
      <w:proofErr w:type="gramStart"/>
      <w:r>
        <w:t>å</w:t>
      </w:r>
      <w:proofErr w:type="gramEnd"/>
      <w:r>
        <w:t xml:space="preserve"> halde oppe lokal sysselsetjing og å leggje til rette for næringsver</w:t>
      </w:r>
      <w:r>
        <w:t>k</w:t>
      </w:r>
      <w:r>
        <w:t xml:space="preserve">semd lokalt. Med reguleringa som er i dag må eigarane ta omsyn til at slike forhold kan trekkje i ulike retningar. Unødvendig høg nettleige kan til dømes gjere det mindre attraktivt </w:t>
      </w:r>
      <w:proofErr w:type="gramStart"/>
      <w:r>
        <w:t>å</w:t>
      </w:r>
      <w:proofErr w:type="gramEnd"/>
      <w:r>
        <w:t xml:space="preserve"> leggje ny næringsverksemd til området og svekkje økonomien i eksisterande næringsverksemd, noko som kan verke negativt for sysselsetjinga over tid. På den andre sida kan det å redusere kostnadene i nettselskapet innebere færre tilsette i denne verksemda. </w:t>
      </w:r>
    </w:p>
    <w:p w:rsidR="00880768" w:rsidRDefault="00880768" w:rsidP="00880768">
      <w:r>
        <w:t xml:space="preserve">Sjølv om eigaren av eit nettselskap får redusert avkastning som følgje av kostnadsauke, vil det ved tariffutjamning for nokon nettselskap ikkje vere same fokuset på </w:t>
      </w:r>
      <w:proofErr w:type="gramStart"/>
      <w:r>
        <w:t>å</w:t>
      </w:r>
      <w:proofErr w:type="gramEnd"/>
      <w:r>
        <w:t xml:space="preserve"> halde kostnadane lave. Dette fordi delar av kostnadene blir betalte av andre enn </w:t>
      </w:r>
      <w:proofErr w:type="gramStart"/>
      <w:r>
        <w:t>nettselskapet sine</w:t>
      </w:r>
      <w:proofErr w:type="gramEnd"/>
      <w:r>
        <w:t xml:space="preserve"> kundar, samtidig som dei auka kostnadene kan medverke til auka aktivitet lokalt, gjennom auka sysselsetjing i nettverksemda og ved at nettselskapet kan gjere disposisjonar som gir nytte for noverande eller framtidige kundar. Ved utjamning av tariffar kan </w:t>
      </w:r>
      <w:bookmarkStart w:id="0" w:name="_GoBack"/>
      <w:bookmarkEnd w:id="0"/>
      <w:r>
        <w:t>det vere rasjonelt at nettselskapet dimensjonerer nettet slik at det blir lagt til rette for seinare ekspansjon i etterspørselen etter nettkapasitet utan at anleggsbidrag blir utløyst.</w:t>
      </w:r>
    </w:p>
    <w:p w:rsidR="00880768" w:rsidRDefault="00880768" w:rsidP="00880768">
      <w:r>
        <w:t xml:space="preserve">Reguleringa i dag er i stor grad basert på at nettselskapet og </w:t>
      </w:r>
      <w:proofErr w:type="gramStart"/>
      <w:r>
        <w:t>selskapet sine</w:t>
      </w:r>
      <w:proofErr w:type="gramEnd"/>
      <w:r>
        <w:t xml:space="preserve"> eigarar tek avgjersler lokalt, og at desse avgjerslene så langt som mogleg medverkar til effektive løysingar for samfunnet samla sett. At nettselskapet sjølv er ansvarleg for </w:t>
      </w:r>
      <w:proofErr w:type="gramStart"/>
      <w:r>
        <w:t>å</w:t>
      </w:r>
      <w:proofErr w:type="gramEnd"/>
      <w:r>
        <w:t xml:space="preserve"> dekkje kostnadene sine gjennom nettleige og anleggsbidrag frå kundane utgjer eit vesentleg element i den desentraliserte avgjerdsstrukturen. NVE trur at dersom det blir innført ei ordning med tariffutjamning som i vesentleg grad svekkjer dette forholdet, kan det bli behov for å vurdere endringar i reguleringa for å prøve å kompensere for denne verknaden og ta vare på omsynet til kostnadseffektivitet i kraftnettet. Dette er ei svært omfattande og krevjande oppgåve.</w:t>
      </w:r>
    </w:p>
    <w:p w:rsidR="00880768" w:rsidRDefault="00880768" w:rsidP="00880768">
      <w:r>
        <w:t xml:space="preserve">NVE er kjent med at enkelte selskap vel </w:t>
      </w:r>
      <w:proofErr w:type="gramStart"/>
      <w:r>
        <w:t>å</w:t>
      </w:r>
      <w:proofErr w:type="gramEnd"/>
      <w:r>
        <w:t xml:space="preserve"> ikkje hente inn heile den tillatne inntekta gjennom t</w:t>
      </w:r>
      <w:r>
        <w:t>a</w:t>
      </w:r>
      <w:r>
        <w:t xml:space="preserve">riffane, for å halde dei låge for kundane sine. I 2016 vart 18,4 mill. kroner i mindreinntekt </w:t>
      </w:r>
      <w:proofErr w:type="gramStart"/>
      <w:r>
        <w:t>avskrive</w:t>
      </w:r>
      <w:proofErr w:type="gramEnd"/>
      <w:r>
        <w:t xml:space="preserve"> frå til saman sju nettselskap. </w:t>
      </w:r>
    </w:p>
    <w:p w:rsidR="00880768" w:rsidRDefault="00880768" w:rsidP="00880768">
      <w:pPr>
        <w:pStyle w:val="Overskrift2"/>
      </w:pPr>
      <w:r>
        <w:lastRenderedPageBreak/>
        <w:t xml:space="preserve">Konklusjonar frå tidlegare utgreiingar </w:t>
      </w:r>
    </w:p>
    <w:p w:rsidR="00880768" w:rsidRDefault="00880768" w:rsidP="00880768">
      <w:r>
        <w:t>I 2010 greidde NVE ut full utjamning av kostnadene i distribusjonsnettet gjennom innføring av nasjonale tariffar. Med nasjonale tariffar er meint likt tariffnivå og -struktur for alle like kundar i heile landet. NVE tilrådde ikkje å innføre nasjonale tariffar. Grunngivinga var blant anna at ko</w:t>
      </w:r>
      <w:r>
        <w:t>p</w:t>
      </w:r>
      <w:r>
        <w:t xml:space="preserve">linga mellom nettselskapet sine eigne kostnader og nettleiga forsvinn. </w:t>
      </w:r>
    </w:p>
    <w:p w:rsidR="00880768" w:rsidRDefault="00880768" w:rsidP="00880768">
      <w:r>
        <w:t>I utgreiinga frå 2010 vurderte NVE at ordninga med tilskot til utjamning av overføringstariffen (Utjamningsordninga), som galdt fram til 2017, var ei treffsikker ordning. I utjamningsordninga blir det løyvd pengar over statsbudsjettet til nettselskap med dei høgaste nettkostnadene, slik at tariffane til kundane her kan reduserast.</w:t>
      </w:r>
    </w:p>
    <w:p w:rsidR="00880768" w:rsidRDefault="00880768" w:rsidP="00880768">
      <w:r>
        <w:t xml:space="preserve">Eit alternativ til utjamningsordninga er at nettkostnadene blir omfordelte frå uttakskundar i område med låge kostnader til kundar i område med høge kostnader. NVE vurderte at ei slik endring er relativt enkel å administrere, men at dersom det i tillegg skal innførast lik tariffstruktur, krevst det endringar i kontrollforskrifta. </w:t>
      </w:r>
    </w:p>
    <w:p w:rsidR="00880768" w:rsidRDefault="00880768" w:rsidP="00880768">
      <w:r>
        <w:t>I rapporten «Et bedre organisert strømnett» frå 2014 vurderte ei ekspertgruppe nedsett av Olje- og energidepartementet blant anna meir harmoniserte tariffar. Konklusjonen frå ekspertgruppa var at alle modellane som var foreslåtte hadde svake sider ved seg som gjorde at dei ikkje kunne tilrådast. Rapporten peikte òg på at allment aksepterte prinsipp for tariffering tilseier at tariffar bør variere noko og at dei gir viktige lokaliserings- og prissignal for effektiv drift og utvikling av nettet.</w:t>
      </w:r>
    </w:p>
    <w:p w:rsidR="00880768" w:rsidRDefault="00880768" w:rsidP="00880768">
      <w:r>
        <w:t>Ekspertgruppa peikte på at også ei utvikling i retning av færre selskap vil gi meir harmoniserte t</w:t>
      </w:r>
      <w:r>
        <w:t>a</w:t>
      </w:r>
      <w:r>
        <w:t xml:space="preserve">riffar. Vidare tilrådde ekspertgruppa </w:t>
      </w:r>
      <w:proofErr w:type="gramStart"/>
      <w:r>
        <w:t>å</w:t>
      </w:r>
      <w:proofErr w:type="gramEnd"/>
      <w:r>
        <w:t xml:space="preserve"> behalde utjamningsordninga for kundane i område med dei høgaste nettkostnadene. I utgreiinga frå 2010 vurderte NVE å utvide sentralnettsordninga (tariff</w:t>
      </w:r>
      <w:r>
        <w:t>e</w:t>
      </w:r>
      <w:r>
        <w:t>ringsordninga for transmisjonsnettet) til også å omfatte regionalnettet. I 2012 arbeidde NVE med å etablere ei slik ordning. Den foreslåtte ordninga vart klaga inn til departementet, og departementet avgjorde i 2013 ikkje å gå vidare med ordninga. Ekspertgruppa frå 2014 vurderte òg ein slik modell og konkluderte med at den har mange av dei same svakheitene som andre modellar for tariffutja</w:t>
      </w:r>
      <w:r>
        <w:t>m</w:t>
      </w:r>
      <w:r>
        <w:t xml:space="preserve">ning. Departementet har derfor ikkje </w:t>
      </w:r>
      <w:proofErr w:type="gramStart"/>
      <w:r>
        <w:t>bede</w:t>
      </w:r>
      <w:proofErr w:type="gramEnd"/>
      <w:r>
        <w:t xml:space="preserve"> NVE vurdere ei slik ordning på nytt. </w:t>
      </w:r>
    </w:p>
    <w:p w:rsidR="00880768" w:rsidRDefault="00880768" w:rsidP="00880768">
      <w:pPr>
        <w:pStyle w:val="Overskrift2"/>
      </w:pPr>
      <w:r>
        <w:t>Tilskot til utjamning av overføringstariffar (utjamningsordninga)</w:t>
      </w:r>
    </w:p>
    <w:p w:rsidR="00880768" w:rsidRDefault="00880768" w:rsidP="00880768">
      <w:r>
        <w:t>Utjamningsordninga vart innført i 2000 etter at den tidlegare statsstøtteordninga vart avvikla i 1999. Formålet med utjamningsordninga har vore å redusere tariffane for uttakskundane tilknytt distribusjonsnett med høge kostnader. Tilskot under ordninga blir løyvd årleg over statsbudsjettet. Tariffstøtte over statsbudsjettet inneber at ein vik frå prinsippet om at nettet skal vere brukarfina</w:t>
      </w:r>
      <w:r>
        <w:t>n</w:t>
      </w:r>
      <w:r>
        <w:t xml:space="preserve">siert. </w:t>
      </w:r>
    </w:p>
    <w:p w:rsidR="00880768" w:rsidRDefault="00880768" w:rsidP="00880768">
      <w:r>
        <w:t xml:space="preserve">Kriteriet for tildeling av tariffstøtte er nettselskapa </w:t>
      </w:r>
      <w:proofErr w:type="gramStart"/>
      <w:r>
        <w:t>sin</w:t>
      </w:r>
      <w:proofErr w:type="gramEnd"/>
      <w:r>
        <w:t xml:space="preserve"> gjennomsnittlege nettkostnad per kWh for uttak i det enkelte selskap sitt leveringsområde. Denne gjennomsnittskostnaden blir rekna ut ved å ta utgangspunkt i nettselskapet </w:t>
      </w:r>
      <w:proofErr w:type="gramStart"/>
      <w:r>
        <w:t>si</w:t>
      </w:r>
      <w:proofErr w:type="gramEnd"/>
      <w:r>
        <w:t xml:space="preserve"> tillatne inntekt og trekkje frå inntekter frå andre enn forbruk</w:t>
      </w:r>
      <w:r>
        <w:t>s</w:t>
      </w:r>
      <w:r>
        <w:t>kundane i det aktuelle nettet. Deretter blir den gjenverande tillatne inntekta dividert på samla fo</w:t>
      </w:r>
      <w:r>
        <w:t>r</w:t>
      </w:r>
      <w:r>
        <w:t>bruk i kWh i det aktuelle nettområdet. Den tildelte tariffstøtta inngår i berekninga av faktisk in</w:t>
      </w:r>
      <w:r>
        <w:t>n</w:t>
      </w:r>
      <w:r>
        <w:t>tekt. Dermed vil tariffinntektene frå kundane bli reduserte tilsvarande støttebeløpet. Utjamning</w:t>
      </w:r>
      <w:r>
        <w:t>s</w:t>
      </w:r>
      <w:r>
        <w:t>ordninga var berre meint som ei støtte til uttakskundane med betydeleg høgare nettleige enn gje</w:t>
      </w:r>
      <w:r>
        <w:t>n</w:t>
      </w:r>
      <w:r>
        <w:t xml:space="preserve">nomsnittet. </w:t>
      </w:r>
    </w:p>
    <w:p w:rsidR="00880768" w:rsidRDefault="00880768" w:rsidP="00880768">
      <w:r>
        <w:t>Med utgangspunkt i det løyvde støttebeløpet vart det berekna ein terskelverdi for nettkostnader som gav grunnlag for støtte. Midlane vart fordelte slik at kvart distribusjonsselskap, som hadde net</w:t>
      </w:r>
      <w:r>
        <w:t>t</w:t>
      </w:r>
      <w:r>
        <w:t>kostnad som oversteig terskelverdi, mottok tre firedelar av differansen mellom terskelverdi og den gjennomsnittlege nettkostnaden i selskapet. Kundane i distribusjonsnettet med høgast gjenno</w:t>
      </w:r>
      <w:r>
        <w:t>m</w:t>
      </w:r>
      <w:r>
        <w:t xml:space="preserve">snittleg nettkostnad fekk då den største reduksjonen i tariffen. Dette selskapet vil likevel framleis ha høgast gjennomsnittleg nettkostnad etter at støtta er tildelt. Distribusjonsselskap der støtta vart </w:t>
      </w:r>
      <w:r>
        <w:lastRenderedPageBreak/>
        <w:t xml:space="preserve">mindre enn 1 øre/kWh, vart ikkje omfatta av ordninga, då den tariffmessige verknaden blir liten i høve til dei administrative kostnadene. </w:t>
      </w:r>
    </w:p>
    <w:p w:rsidR="00880768" w:rsidRDefault="00880768" w:rsidP="00880768">
      <w:r>
        <w:t xml:space="preserve">Ordninga har ikkje hatt som formål å sikre full utjamning av tariffane. Ordninga sitt omfang og utforming gjer at den i mindre grad enn andre ordningar svekkjer nettselskapa sine insentiv til å drive effektivt og halde nettleiga låg. </w:t>
      </w:r>
    </w:p>
    <w:p w:rsidR="00880768" w:rsidRDefault="00880768" w:rsidP="00880768">
      <w:pPr>
        <w:pStyle w:val="Overskrift3"/>
      </w:pPr>
      <w:r>
        <w:t>Verknader av utjamning gjennom tariffstøtte</w:t>
      </w:r>
    </w:p>
    <w:p w:rsidR="00880768" w:rsidRDefault="00880768" w:rsidP="00880768">
      <w:r>
        <w:t>I perioden 2000 til 2017 har det vore stor variasjon i kor mykje som er løyvd i tilskot til utjamning av tariffane gjennom tariffstøtteordninga. Løyvingane har variert mellom 10 mill. kroner og 120 mill. kroner. Figur 12.3 viser at i perioden 2015–2017 auka gjennomsnittleg tariffstøtte per abonnent, samtidig som løyvinga til tariffstøtte vart redusert. Selv om løyvingane vart reduserte, fekk nettselskapa med høgast nettkostnad ein større del av tariffstøtta. Talet på selskap som mottek støtte aukar for kvar auke i løyvd beløp med unntak av auken frå 100 mill. kroner til 120 mill. kr</w:t>
      </w:r>
      <w:r>
        <w:t>o</w:t>
      </w:r>
      <w:r>
        <w:t xml:space="preserve">ner. Denne auken inneber ein auke i tariffstøtta per abonnent, men ingen auke i talet på selskap som mottek støtte. </w:t>
      </w:r>
    </w:p>
    <w:p w:rsidR="00880768" w:rsidRDefault="005A2B4F" w:rsidP="005A2B4F">
      <w:pPr>
        <w:pStyle w:val="Figur"/>
      </w:pPr>
      <w:r>
        <w:t>[:figur:figX-X.jpg]</w:t>
      </w:r>
    </w:p>
    <w:p w:rsidR="00880768" w:rsidRDefault="00880768" w:rsidP="00880768">
      <w:pPr>
        <w:pStyle w:val="figur-tittel"/>
      </w:pPr>
      <w:r>
        <w:t>Tildelt tariffstøtte frå 2000 til 2017</w:t>
      </w:r>
    </w:p>
    <w:p w:rsidR="00880768" w:rsidRDefault="00880768" w:rsidP="00880768">
      <w:r>
        <w:t>NVE har berekna effekten av ulike støttebeløp på nettkostnadene til dei enkelte selskapa i 2018. NVE har nytta eit datagrunnlag for 2016, som er siste innrapporterte tal frå nettselskapa. Ei løyving på 10 mill. kroner vil gi gjennomsnittleg 854 kroner i støtte per kunde, mens ein med 120 mill. kroner vil oppnå ei gjennomsnittleg støtte på 1 416 kroner per kunde. Berekningar viser at lø</w:t>
      </w:r>
      <w:r>
        <w:t>y</w:t>
      </w:r>
      <w:r>
        <w:t>vingar over ein viss terskel vil ha avtakande verknad og konsekvensen for tariffnivået for uttak</w:t>
      </w:r>
      <w:r>
        <w:t>s</w:t>
      </w:r>
      <w:r>
        <w:t xml:space="preserve">kundane i nettselskapa som mottek støtte vil etter kvart vere svært beskjeden. Auke over eit visst nivå vil i hovudsak medføre at fleire kundar blir omfatta, men tariffverknaden for desse vil vere liten. </w:t>
      </w:r>
    </w:p>
    <w:p w:rsidR="00880768" w:rsidRDefault="00880768" w:rsidP="00880768">
      <w:r>
        <w:t>NVE har vidare sett at fusjonar mellom nettselskapa har betydeleg verknad på kven som eventuelt vil motta tariffstøtte i framtida, og kan gi store reduksjonar i tariffkostnadene til kundar knytte til nettselskap med høge nettkostnader, då fusjonar i seg sjølve har ein utjamnande verknad på tarif</w:t>
      </w:r>
      <w:r>
        <w:t>f</w:t>
      </w:r>
      <w:r>
        <w:t xml:space="preserve">nivå. </w:t>
      </w:r>
    </w:p>
    <w:p w:rsidR="00880768" w:rsidRDefault="00880768" w:rsidP="00880768">
      <w:pPr>
        <w:pStyle w:val="Overskrift2"/>
      </w:pPr>
      <w:r>
        <w:t>Konklusjon</w:t>
      </w:r>
    </w:p>
    <w:p w:rsidR="00880768" w:rsidRDefault="00880768" w:rsidP="00880768">
      <w:r>
        <w:t xml:space="preserve">Det blir ikkje lagt opp til å innføre ei ordning for utjamning av nettariffar. Utjamning av tariffane vil svekkje insentiva til effektiv drift av nettselskapa, fordi koplinga mellom nettselskapet sine kostnader og kundane si nettleige blir svekt, noko som kan føre til auka kostnader for samfunnet i det heile. </w:t>
      </w:r>
    </w:p>
    <w:p w:rsidR="00880768" w:rsidRDefault="00880768" w:rsidP="00880768">
      <w:r>
        <w:t>Fusjonar har vist seg å ha ein sterkt utjamnande effekt, og er ei ønskt utvikling. Desse strukturen</w:t>
      </w:r>
      <w:r>
        <w:t>d</w:t>
      </w:r>
      <w:r>
        <w:t>ringane medverkar til meir like nettariffar i landet.</w:t>
      </w:r>
    </w:p>
    <w:p w:rsidR="00880768" w:rsidRDefault="00880768" w:rsidP="00880768">
      <w:pPr>
        <w:pStyle w:val="Overskrift1"/>
      </w:pPr>
      <w:r>
        <w:t>Energibruksutviklinga i Noreg</w:t>
      </w:r>
    </w:p>
    <w:p w:rsidR="00880768" w:rsidRDefault="00880768" w:rsidP="00880768">
      <w:r>
        <w:t>Effektiv og klimavennleg bruk av energi medverkar til eit økonomisk og miljømessig berekraftig energisystem, jf. Meld. St 25 (2015–2016) om energipolitikken mot 2030 (energimeldinga). I ene</w:t>
      </w:r>
      <w:r>
        <w:t>r</w:t>
      </w:r>
      <w:r>
        <w:t>gimeldinga vart det sett eit ambisiøst mål om 30 prosent betring i energiintensiteten i Fas</w:t>
      </w:r>
      <w:r>
        <w:t>t</w:t>
      </w:r>
      <w:r>
        <w:t>lands-Noreg i 2030, samanlikna med 2015. Energiintensiteten er eit mål på kor mykje verdiskaping (bruttonasjonalprodukt) vi får ut av den energien vi brukar. Målet gir rom for at økonomien kan vekse i åra som kjem, samtidig som vi har høge effektiviseringsambisjonar.</w:t>
      </w:r>
    </w:p>
    <w:p w:rsidR="00880768" w:rsidRDefault="00880768" w:rsidP="00880768">
      <w:r>
        <w:lastRenderedPageBreak/>
        <w:t>Regjeringa har lagt opp til å orientere om utviklinga i energiintensiteten i den årlege budsjettprop</w:t>
      </w:r>
      <w:r>
        <w:t>o</w:t>
      </w:r>
      <w:r>
        <w:t>sisjonen. Den første orienteringa vart gitt i budsjettproposisjonen for 2018, med fokus på historisk utvikling i energiintensiteten og gjennomgang av drivarar av energibruk. I år er det følgt opp med ei orientering om status for energibruken.</w:t>
      </w:r>
    </w:p>
    <w:p w:rsidR="00880768" w:rsidRDefault="00880768" w:rsidP="00880768">
      <w:pPr>
        <w:pStyle w:val="Overskrift2"/>
      </w:pPr>
      <w:r>
        <w:t>Status for sluttbruk av energi</w:t>
      </w:r>
    </w:p>
    <w:p w:rsidR="00880768" w:rsidRDefault="00880768" w:rsidP="00880768">
      <w:r>
        <w:t xml:space="preserve">I følgje foreløpige tal frå SSB var innanlands sluttbruk av energi om lag 213 TWh i 2017, noko lågare enn i 2016. Sluttbruk av energi er all energibruk utanom bruk til produksjon av energi i for eksempel kraftverk, olje- og gassutvinning eller fjernvarmeverk. </w:t>
      </w:r>
    </w:p>
    <w:p w:rsidR="00880768" w:rsidRDefault="00880768" w:rsidP="00880768">
      <w:r>
        <w:t xml:space="preserve">Energibruken varierer over tid av mange ulike årsaker. Den høgast målte sluttbruken i Noreg er 221 TWh, og det var i 2010 då det var ein svært kald vinter. Til samanlikning medverka låg økonomisk aktivitet og mild temperatur til at sluttbruken av energi var nede i 201,5 TWh i 2009. </w:t>
      </w:r>
    </w:p>
    <w:p w:rsidR="00880768" w:rsidRDefault="00880768" w:rsidP="00880768">
      <w:r>
        <w:t>I 2017 var industrien sin sluttbruk av energi om lag 73,5 TWh, eller 34,5 prosent av totalt sluttbruk i Noreg. Det var ein auke på 2,4 TWh frå 2016. Auken er jamt fordelt på den kraftintensive ind</w:t>
      </w:r>
      <w:r>
        <w:t>u</w:t>
      </w:r>
      <w:r>
        <w:t>strien og anna industri.</w:t>
      </w:r>
    </w:p>
    <w:p w:rsidR="00880768" w:rsidRDefault="00880768" w:rsidP="00880768">
      <w:r>
        <w:t xml:space="preserve">I transportsektoren minska sluttbruken av energi med 2,4 TWh i 2017 og enda på 52 TWh, eller 24 prosent av total sluttbruk. Reduksjonen skjedde i veg- og kysttransport. </w:t>
      </w:r>
    </w:p>
    <w:p w:rsidR="00880768" w:rsidRDefault="00880768" w:rsidP="00880768">
      <w:r>
        <w:t>Sluttbruk av energi i tenesteytande næring og private hushald var 82 TWh i 2017, eller ca. 39 pr</w:t>
      </w:r>
      <w:r>
        <w:t>o</w:t>
      </w:r>
      <w:r>
        <w:t>sent av samla sluttbruk. Dette forbruket er i stor grad knytt til energibruk i bygg. Jordbruk og fiske stod for resten av sluttbruken av energi, om lag 5,6 TWh, eller 2,5 prosent av samla sluttbruk i la</w:t>
      </w:r>
      <w:r>
        <w:t>n</w:t>
      </w:r>
      <w:r>
        <w:t>det.</w:t>
      </w:r>
    </w:p>
    <w:p w:rsidR="00880768" w:rsidRDefault="00880768" w:rsidP="00880768">
      <w:r>
        <w:t xml:space="preserve">Den reelle veksten i fastlands-BNP var på 1,8 prosent frå 2016 til 2017 og energiintensiteten vart betra med 2 prosent. Samanlikna med 2015 er energiintensiteten betra med 0,4 prosent. </w:t>
      </w:r>
    </w:p>
    <w:p w:rsidR="00880768" w:rsidRDefault="00880768" w:rsidP="00880768">
      <w:r>
        <w:t>Tabell 13.1 viser nøkkeltal for energibruken i Noreg og nokre viktige faktorar som påverkar u</w:t>
      </w:r>
      <w:r>
        <w:t>t</w:t>
      </w:r>
      <w:r>
        <w:t>viklinga.</w:t>
      </w:r>
    </w:p>
    <w:p w:rsidR="002F7289" w:rsidRDefault="002F7289" w:rsidP="0063539A">
      <w:pPr>
        <w:pStyle w:val="tabell-tittel"/>
      </w:pPr>
      <w:r>
        <w:rPr>
          <w:sz w:val="21"/>
          <w:szCs w:val="21"/>
        </w:rPr>
        <w:t>Nøkkeltal for norsk energibruk</w:t>
      </w:r>
    </w:p>
    <w:p w:rsidR="00880768" w:rsidRDefault="00880768" w:rsidP="00880768">
      <w:pPr>
        <w:pStyle w:val="Tabellnavn"/>
      </w:pPr>
      <w:r>
        <w:t>05J1xt2</w:t>
      </w:r>
    </w:p>
    <w:tbl>
      <w:tblPr>
        <w:tblStyle w:val="StandardTabell"/>
        <w:tblW w:w="0" w:type="auto"/>
        <w:tblLayout w:type="fixed"/>
        <w:tblLook w:val="04A0" w:firstRow="1" w:lastRow="0" w:firstColumn="1" w:lastColumn="0" w:noHBand="0" w:noVBand="1"/>
      </w:tblPr>
      <w:tblGrid>
        <w:gridCol w:w="4100"/>
        <w:gridCol w:w="1360"/>
        <w:gridCol w:w="1360"/>
        <w:gridCol w:w="1360"/>
        <w:gridCol w:w="1340"/>
      </w:tblGrid>
      <w:tr w:rsidR="00880768" w:rsidTr="00880768">
        <w:trPr>
          <w:trHeight w:val="600"/>
        </w:trPr>
        <w:tc>
          <w:tcPr>
            <w:tcW w:w="4100" w:type="dxa"/>
          </w:tcPr>
          <w:p w:rsidR="00880768" w:rsidRDefault="00880768" w:rsidP="00880768"/>
        </w:tc>
        <w:tc>
          <w:tcPr>
            <w:tcW w:w="1360" w:type="dxa"/>
          </w:tcPr>
          <w:p w:rsidR="00880768" w:rsidRDefault="00880768" w:rsidP="002B56BB">
            <w:r>
              <w:t>Gjenno</w:t>
            </w:r>
            <w:r>
              <w:t>m</w:t>
            </w:r>
            <w:r>
              <w:t>snitt</w:t>
            </w:r>
            <w:r w:rsidR="002B56BB">
              <w:rPr>
                <w:sz w:val="22"/>
              </w:rPr>
              <w:br/>
            </w:r>
            <w:r>
              <w:t>2010–2015</w:t>
            </w:r>
          </w:p>
        </w:tc>
        <w:tc>
          <w:tcPr>
            <w:tcW w:w="1360" w:type="dxa"/>
          </w:tcPr>
          <w:p w:rsidR="00880768" w:rsidRDefault="00880768" w:rsidP="00880768">
            <w:r>
              <w:t>2015</w:t>
            </w:r>
          </w:p>
        </w:tc>
        <w:tc>
          <w:tcPr>
            <w:tcW w:w="1360" w:type="dxa"/>
          </w:tcPr>
          <w:p w:rsidR="00880768" w:rsidRDefault="00880768" w:rsidP="00880768">
            <w:r>
              <w:t>2016</w:t>
            </w:r>
          </w:p>
        </w:tc>
        <w:tc>
          <w:tcPr>
            <w:tcW w:w="1340" w:type="dxa"/>
          </w:tcPr>
          <w:p w:rsidR="00880768" w:rsidRDefault="00880768" w:rsidP="00880768">
            <w:r>
              <w:t>2017</w:t>
            </w:r>
          </w:p>
        </w:tc>
      </w:tr>
      <w:tr w:rsidR="00880768" w:rsidTr="00880768">
        <w:trPr>
          <w:trHeight w:val="620"/>
        </w:trPr>
        <w:tc>
          <w:tcPr>
            <w:tcW w:w="4100" w:type="dxa"/>
          </w:tcPr>
          <w:p w:rsidR="00880768" w:rsidRDefault="00880768" w:rsidP="00880768">
            <w:r>
              <w:t>Norsk innanlands sluttbruk av energi (GWh)</w:t>
            </w:r>
          </w:p>
        </w:tc>
        <w:tc>
          <w:tcPr>
            <w:tcW w:w="1360" w:type="dxa"/>
          </w:tcPr>
          <w:p w:rsidR="00880768" w:rsidRDefault="00880768" w:rsidP="00880768">
            <w:r>
              <w:t>212 533</w:t>
            </w:r>
          </w:p>
        </w:tc>
        <w:tc>
          <w:tcPr>
            <w:tcW w:w="1360" w:type="dxa"/>
          </w:tcPr>
          <w:p w:rsidR="00880768" w:rsidRDefault="00880768" w:rsidP="00880768">
            <w:r>
              <w:t>208 943</w:t>
            </w:r>
          </w:p>
        </w:tc>
        <w:tc>
          <w:tcPr>
            <w:tcW w:w="1360" w:type="dxa"/>
          </w:tcPr>
          <w:p w:rsidR="00880768" w:rsidRDefault="00880768" w:rsidP="00880768">
            <w:r>
              <w:t>213 770</w:t>
            </w:r>
          </w:p>
        </w:tc>
        <w:tc>
          <w:tcPr>
            <w:tcW w:w="1340" w:type="dxa"/>
          </w:tcPr>
          <w:p w:rsidR="00880768" w:rsidRDefault="00880768" w:rsidP="00880768">
            <w:r>
              <w:t>213 367</w:t>
            </w:r>
          </w:p>
        </w:tc>
      </w:tr>
      <w:tr w:rsidR="00880768" w:rsidTr="00880768">
        <w:trPr>
          <w:trHeight w:val="360"/>
        </w:trPr>
        <w:tc>
          <w:tcPr>
            <w:tcW w:w="4100" w:type="dxa"/>
          </w:tcPr>
          <w:p w:rsidR="00880768" w:rsidRDefault="00880768" w:rsidP="00880768">
            <w:r>
              <w:t>Sluttbruk per person (kWh)</w:t>
            </w:r>
          </w:p>
        </w:tc>
        <w:tc>
          <w:tcPr>
            <w:tcW w:w="1360" w:type="dxa"/>
          </w:tcPr>
          <w:p w:rsidR="00880768" w:rsidRDefault="00880768" w:rsidP="00880768">
            <w:r>
              <w:t>13 308</w:t>
            </w:r>
          </w:p>
        </w:tc>
        <w:tc>
          <w:tcPr>
            <w:tcW w:w="1360" w:type="dxa"/>
          </w:tcPr>
          <w:p w:rsidR="00880768" w:rsidRDefault="00880768" w:rsidP="00880768">
            <w:r>
              <w:t>12 698</w:t>
            </w:r>
          </w:p>
        </w:tc>
        <w:tc>
          <w:tcPr>
            <w:tcW w:w="1360" w:type="dxa"/>
          </w:tcPr>
          <w:p w:rsidR="00880768" w:rsidRDefault="00880768" w:rsidP="00880768">
            <w:r>
              <w:t>12 895</w:t>
            </w:r>
          </w:p>
        </w:tc>
        <w:tc>
          <w:tcPr>
            <w:tcW w:w="1340" w:type="dxa"/>
          </w:tcPr>
          <w:p w:rsidR="00880768" w:rsidRDefault="00880768" w:rsidP="00880768">
            <w:r>
              <w:t>12 609</w:t>
            </w:r>
          </w:p>
        </w:tc>
      </w:tr>
      <w:tr w:rsidR="00880768" w:rsidTr="00880768">
        <w:trPr>
          <w:trHeight w:val="360"/>
        </w:trPr>
        <w:tc>
          <w:tcPr>
            <w:tcW w:w="4100" w:type="dxa"/>
          </w:tcPr>
          <w:p w:rsidR="00880768" w:rsidRDefault="00880768" w:rsidP="00880768">
            <w:r>
              <w:t>Energiintensitet (kWh/kr)</w:t>
            </w:r>
          </w:p>
        </w:tc>
        <w:tc>
          <w:tcPr>
            <w:tcW w:w="1360" w:type="dxa"/>
          </w:tcPr>
          <w:p w:rsidR="00880768" w:rsidRDefault="00880768" w:rsidP="00880768">
            <w:r>
              <w:t>0,136</w:t>
            </w:r>
          </w:p>
        </w:tc>
        <w:tc>
          <w:tcPr>
            <w:tcW w:w="1360" w:type="dxa"/>
          </w:tcPr>
          <w:p w:rsidR="00880768" w:rsidRDefault="00880768" w:rsidP="00880768">
            <w:r>
              <w:t>0,127</w:t>
            </w:r>
          </w:p>
        </w:tc>
        <w:tc>
          <w:tcPr>
            <w:tcW w:w="1360" w:type="dxa"/>
          </w:tcPr>
          <w:p w:rsidR="00880768" w:rsidRDefault="00880768" w:rsidP="00880768">
            <w:r>
              <w:t>0,129</w:t>
            </w:r>
          </w:p>
        </w:tc>
        <w:tc>
          <w:tcPr>
            <w:tcW w:w="1340" w:type="dxa"/>
          </w:tcPr>
          <w:p w:rsidR="00880768" w:rsidRDefault="00880768" w:rsidP="00880768">
            <w:r>
              <w:t>0,126</w:t>
            </w:r>
          </w:p>
        </w:tc>
      </w:tr>
      <w:tr w:rsidR="00880768" w:rsidTr="00880768">
        <w:trPr>
          <w:trHeight w:val="260"/>
        </w:trPr>
        <w:tc>
          <w:tcPr>
            <w:tcW w:w="4100" w:type="dxa"/>
          </w:tcPr>
          <w:p w:rsidR="00880768" w:rsidRDefault="00880768" w:rsidP="00880768"/>
        </w:tc>
        <w:tc>
          <w:tcPr>
            <w:tcW w:w="1360" w:type="dxa"/>
          </w:tcPr>
          <w:p w:rsidR="00880768" w:rsidRDefault="00880768" w:rsidP="00880768"/>
        </w:tc>
        <w:tc>
          <w:tcPr>
            <w:tcW w:w="1360" w:type="dxa"/>
          </w:tcPr>
          <w:p w:rsidR="00880768" w:rsidRDefault="00880768" w:rsidP="00880768"/>
        </w:tc>
        <w:tc>
          <w:tcPr>
            <w:tcW w:w="1360" w:type="dxa"/>
          </w:tcPr>
          <w:p w:rsidR="00880768" w:rsidRDefault="00880768" w:rsidP="00880768"/>
        </w:tc>
        <w:tc>
          <w:tcPr>
            <w:tcW w:w="1340" w:type="dxa"/>
          </w:tcPr>
          <w:p w:rsidR="00880768" w:rsidRDefault="00880768" w:rsidP="00880768"/>
        </w:tc>
      </w:tr>
      <w:tr w:rsidR="00880768" w:rsidTr="00880768">
        <w:trPr>
          <w:trHeight w:val="360"/>
        </w:trPr>
        <w:tc>
          <w:tcPr>
            <w:tcW w:w="4100" w:type="dxa"/>
          </w:tcPr>
          <w:p w:rsidR="00880768" w:rsidRDefault="00880768" w:rsidP="00880768">
            <w:r>
              <w:rPr>
                <w:rStyle w:val="kursiv"/>
                <w:sz w:val="21"/>
                <w:szCs w:val="21"/>
              </w:rPr>
              <w:t>Bygg</w:t>
            </w:r>
          </w:p>
        </w:tc>
        <w:tc>
          <w:tcPr>
            <w:tcW w:w="1360" w:type="dxa"/>
          </w:tcPr>
          <w:p w:rsidR="00880768" w:rsidRDefault="00880768" w:rsidP="00880768"/>
        </w:tc>
        <w:tc>
          <w:tcPr>
            <w:tcW w:w="1360" w:type="dxa"/>
          </w:tcPr>
          <w:p w:rsidR="00880768" w:rsidRDefault="00880768" w:rsidP="00880768"/>
        </w:tc>
        <w:tc>
          <w:tcPr>
            <w:tcW w:w="1360" w:type="dxa"/>
          </w:tcPr>
          <w:p w:rsidR="00880768" w:rsidRDefault="00880768" w:rsidP="00880768"/>
        </w:tc>
        <w:tc>
          <w:tcPr>
            <w:tcW w:w="1340" w:type="dxa"/>
          </w:tcPr>
          <w:p w:rsidR="00880768" w:rsidRDefault="00880768" w:rsidP="00880768"/>
        </w:tc>
      </w:tr>
      <w:tr w:rsidR="00880768" w:rsidTr="00880768">
        <w:trPr>
          <w:trHeight w:val="360"/>
        </w:trPr>
        <w:tc>
          <w:tcPr>
            <w:tcW w:w="4100" w:type="dxa"/>
          </w:tcPr>
          <w:p w:rsidR="00880768" w:rsidRDefault="00880768" w:rsidP="00880768">
            <w:r>
              <w:t>Total sluttbruk (GWh)</w:t>
            </w:r>
          </w:p>
        </w:tc>
        <w:tc>
          <w:tcPr>
            <w:tcW w:w="1360" w:type="dxa"/>
          </w:tcPr>
          <w:p w:rsidR="00880768" w:rsidRDefault="00880768" w:rsidP="00880768">
            <w:r>
              <w:t>80 619</w:t>
            </w:r>
          </w:p>
        </w:tc>
        <w:tc>
          <w:tcPr>
            <w:tcW w:w="1360" w:type="dxa"/>
          </w:tcPr>
          <w:p w:rsidR="00880768" w:rsidRDefault="00880768" w:rsidP="00880768">
            <w:r>
              <w:t>78 746</w:t>
            </w:r>
          </w:p>
        </w:tc>
        <w:tc>
          <w:tcPr>
            <w:tcW w:w="1360" w:type="dxa"/>
          </w:tcPr>
          <w:p w:rsidR="00880768" w:rsidRDefault="00880768" w:rsidP="00880768">
            <w:r>
              <w:t>82 544</w:t>
            </w:r>
          </w:p>
        </w:tc>
        <w:tc>
          <w:tcPr>
            <w:tcW w:w="1340" w:type="dxa"/>
          </w:tcPr>
          <w:p w:rsidR="00880768" w:rsidRDefault="00880768" w:rsidP="00880768">
            <w:r>
              <w:t>78 746</w:t>
            </w:r>
          </w:p>
        </w:tc>
      </w:tr>
      <w:tr w:rsidR="00880768" w:rsidTr="00880768">
        <w:trPr>
          <w:trHeight w:val="620"/>
        </w:trPr>
        <w:tc>
          <w:tcPr>
            <w:tcW w:w="4100" w:type="dxa"/>
          </w:tcPr>
          <w:p w:rsidR="00880768" w:rsidRDefault="00880768" w:rsidP="00880768">
            <w:pPr>
              <w:pStyle w:val="Liste"/>
            </w:pPr>
            <w:r>
              <w:t xml:space="preserve">Privat og offentleg tenesteyting </w:t>
            </w:r>
            <w:r>
              <w:rPr>
                <w:sz w:val="22"/>
              </w:rPr>
              <w:br/>
            </w:r>
            <w:r>
              <w:t>(GWh)</w:t>
            </w:r>
          </w:p>
        </w:tc>
        <w:tc>
          <w:tcPr>
            <w:tcW w:w="1360" w:type="dxa"/>
          </w:tcPr>
          <w:p w:rsidR="00880768" w:rsidRDefault="00880768" w:rsidP="00880768">
            <w:r>
              <w:t>33 278</w:t>
            </w:r>
          </w:p>
        </w:tc>
        <w:tc>
          <w:tcPr>
            <w:tcW w:w="1360" w:type="dxa"/>
          </w:tcPr>
          <w:p w:rsidR="00880768" w:rsidRDefault="00880768" w:rsidP="00880768">
            <w:r>
              <w:t>32 395</w:t>
            </w:r>
          </w:p>
        </w:tc>
        <w:tc>
          <w:tcPr>
            <w:tcW w:w="1360" w:type="dxa"/>
          </w:tcPr>
          <w:p w:rsidR="00880768" w:rsidRDefault="00880768" w:rsidP="00880768">
            <w:r>
              <w:t>34 796</w:t>
            </w:r>
          </w:p>
        </w:tc>
        <w:tc>
          <w:tcPr>
            <w:tcW w:w="1340" w:type="dxa"/>
          </w:tcPr>
          <w:p w:rsidR="00880768" w:rsidRDefault="00880768" w:rsidP="00880768">
            <w:r>
              <w:t>32 395</w:t>
            </w:r>
          </w:p>
        </w:tc>
      </w:tr>
      <w:tr w:rsidR="00880768" w:rsidTr="00880768">
        <w:trPr>
          <w:trHeight w:val="360"/>
        </w:trPr>
        <w:tc>
          <w:tcPr>
            <w:tcW w:w="4100" w:type="dxa"/>
          </w:tcPr>
          <w:p w:rsidR="00880768" w:rsidRDefault="00880768" w:rsidP="00880768">
            <w:pPr>
              <w:pStyle w:val="Liste"/>
            </w:pPr>
            <w:r>
              <w:t>Private hushald (GWh)</w:t>
            </w:r>
          </w:p>
        </w:tc>
        <w:tc>
          <w:tcPr>
            <w:tcW w:w="1360" w:type="dxa"/>
          </w:tcPr>
          <w:p w:rsidR="00880768" w:rsidRDefault="00880768" w:rsidP="00880768">
            <w:r>
              <w:t>47 341</w:t>
            </w:r>
          </w:p>
        </w:tc>
        <w:tc>
          <w:tcPr>
            <w:tcW w:w="1360" w:type="dxa"/>
          </w:tcPr>
          <w:p w:rsidR="00880768" w:rsidRDefault="00880768" w:rsidP="00880768">
            <w:r>
              <w:t>46 351</w:t>
            </w:r>
          </w:p>
        </w:tc>
        <w:tc>
          <w:tcPr>
            <w:tcW w:w="1360" w:type="dxa"/>
          </w:tcPr>
          <w:p w:rsidR="00880768" w:rsidRDefault="00880768" w:rsidP="00880768">
            <w:r>
              <w:t>47 748</w:t>
            </w:r>
          </w:p>
        </w:tc>
        <w:tc>
          <w:tcPr>
            <w:tcW w:w="1340" w:type="dxa"/>
          </w:tcPr>
          <w:p w:rsidR="00880768" w:rsidRDefault="00880768" w:rsidP="00880768">
            <w:r>
              <w:t>47 666</w:t>
            </w:r>
          </w:p>
        </w:tc>
      </w:tr>
      <w:tr w:rsidR="00880768" w:rsidTr="00880768">
        <w:trPr>
          <w:trHeight w:val="260"/>
        </w:trPr>
        <w:tc>
          <w:tcPr>
            <w:tcW w:w="4100" w:type="dxa"/>
          </w:tcPr>
          <w:p w:rsidR="00880768" w:rsidRDefault="00880768" w:rsidP="00880768"/>
        </w:tc>
        <w:tc>
          <w:tcPr>
            <w:tcW w:w="1360" w:type="dxa"/>
          </w:tcPr>
          <w:p w:rsidR="00880768" w:rsidRDefault="00880768" w:rsidP="00880768"/>
        </w:tc>
        <w:tc>
          <w:tcPr>
            <w:tcW w:w="1360" w:type="dxa"/>
          </w:tcPr>
          <w:p w:rsidR="00880768" w:rsidRDefault="00880768" w:rsidP="00880768"/>
        </w:tc>
        <w:tc>
          <w:tcPr>
            <w:tcW w:w="1360" w:type="dxa"/>
          </w:tcPr>
          <w:p w:rsidR="00880768" w:rsidRDefault="00880768" w:rsidP="00880768"/>
        </w:tc>
        <w:tc>
          <w:tcPr>
            <w:tcW w:w="1340" w:type="dxa"/>
          </w:tcPr>
          <w:p w:rsidR="00880768" w:rsidRDefault="00880768" w:rsidP="00880768"/>
        </w:tc>
      </w:tr>
      <w:tr w:rsidR="00880768" w:rsidTr="00880768">
        <w:trPr>
          <w:trHeight w:val="620"/>
        </w:trPr>
        <w:tc>
          <w:tcPr>
            <w:tcW w:w="4100" w:type="dxa"/>
          </w:tcPr>
          <w:p w:rsidR="00880768" w:rsidRDefault="00880768" w:rsidP="00880768">
            <w:r>
              <w:lastRenderedPageBreak/>
              <w:t xml:space="preserve">Gjennomsnittstemperatur vinter </w:t>
            </w:r>
            <w:r>
              <w:rPr>
                <w:sz w:val="22"/>
              </w:rPr>
              <w:br/>
            </w:r>
            <w:r>
              <w:t>(Målt i C°)</w:t>
            </w:r>
          </w:p>
        </w:tc>
        <w:tc>
          <w:tcPr>
            <w:tcW w:w="1360" w:type="dxa"/>
          </w:tcPr>
          <w:p w:rsidR="00880768" w:rsidRDefault="00880768" w:rsidP="00880768">
            <w:r>
              <w:t>-6,1</w:t>
            </w:r>
          </w:p>
        </w:tc>
        <w:tc>
          <w:tcPr>
            <w:tcW w:w="1360" w:type="dxa"/>
          </w:tcPr>
          <w:p w:rsidR="00880768" w:rsidRDefault="00880768" w:rsidP="00880768">
            <w:r>
              <w:t>-3,9</w:t>
            </w:r>
          </w:p>
        </w:tc>
        <w:tc>
          <w:tcPr>
            <w:tcW w:w="1360" w:type="dxa"/>
          </w:tcPr>
          <w:p w:rsidR="00880768" w:rsidRDefault="00880768" w:rsidP="00880768">
            <w:r>
              <w:t>-4,8</w:t>
            </w:r>
          </w:p>
        </w:tc>
        <w:tc>
          <w:tcPr>
            <w:tcW w:w="1340" w:type="dxa"/>
          </w:tcPr>
          <w:p w:rsidR="00880768" w:rsidRDefault="00880768" w:rsidP="00880768">
            <w:r>
              <w:t>-2,9</w:t>
            </w:r>
          </w:p>
        </w:tc>
      </w:tr>
      <w:tr w:rsidR="00880768" w:rsidTr="00880768">
        <w:trPr>
          <w:trHeight w:val="260"/>
        </w:trPr>
        <w:tc>
          <w:tcPr>
            <w:tcW w:w="4100" w:type="dxa"/>
          </w:tcPr>
          <w:p w:rsidR="00880768" w:rsidRDefault="00880768" w:rsidP="00880768"/>
        </w:tc>
        <w:tc>
          <w:tcPr>
            <w:tcW w:w="1360" w:type="dxa"/>
          </w:tcPr>
          <w:p w:rsidR="00880768" w:rsidRDefault="00880768" w:rsidP="00880768"/>
        </w:tc>
        <w:tc>
          <w:tcPr>
            <w:tcW w:w="1360" w:type="dxa"/>
          </w:tcPr>
          <w:p w:rsidR="00880768" w:rsidRDefault="00880768" w:rsidP="00880768"/>
        </w:tc>
        <w:tc>
          <w:tcPr>
            <w:tcW w:w="1360" w:type="dxa"/>
          </w:tcPr>
          <w:p w:rsidR="00880768" w:rsidRDefault="00880768" w:rsidP="00880768"/>
        </w:tc>
        <w:tc>
          <w:tcPr>
            <w:tcW w:w="1340" w:type="dxa"/>
          </w:tcPr>
          <w:p w:rsidR="00880768" w:rsidRDefault="00880768" w:rsidP="00880768"/>
        </w:tc>
      </w:tr>
      <w:tr w:rsidR="00880768" w:rsidTr="00880768">
        <w:trPr>
          <w:trHeight w:val="360"/>
        </w:trPr>
        <w:tc>
          <w:tcPr>
            <w:tcW w:w="4100" w:type="dxa"/>
          </w:tcPr>
          <w:p w:rsidR="00880768" w:rsidRDefault="00880768" w:rsidP="00880768">
            <w:r>
              <w:rPr>
                <w:rStyle w:val="kursiv"/>
                <w:sz w:val="21"/>
                <w:szCs w:val="21"/>
              </w:rPr>
              <w:t>Transport</w:t>
            </w:r>
          </w:p>
        </w:tc>
        <w:tc>
          <w:tcPr>
            <w:tcW w:w="1360" w:type="dxa"/>
          </w:tcPr>
          <w:p w:rsidR="00880768" w:rsidRDefault="00880768" w:rsidP="00880768"/>
        </w:tc>
        <w:tc>
          <w:tcPr>
            <w:tcW w:w="1360" w:type="dxa"/>
          </w:tcPr>
          <w:p w:rsidR="00880768" w:rsidRDefault="00880768" w:rsidP="00880768"/>
        </w:tc>
        <w:tc>
          <w:tcPr>
            <w:tcW w:w="1360" w:type="dxa"/>
          </w:tcPr>
          <w:p w:rsidR="00880768" w:rsidRDefault="00880768" w:rsidP="00880768"/>
        </w:tc>
        <w:tc>
          <w:tcPr>
            <w:tcW w:w="1340" w:type="dxa"/>
          </w:tcPr>
          <w:p w:rsidR="00880768" w:rsidRDefault="00880768" w:rsidP="00880768"/>
        </w:tc>
      </w:tr>
      <w:tr w:rsidR="00880768" w:rsidTr="00880768">
        <w:trPr>
          <w:trHeight w:val="360"/>
        </w:trPr>
        <w:tc>
          <w:tcPr>
            <w:tcW w:w="4100" w:type="dxa"/>
          </w:tcPr>
          <w:p w:rsidR="00880768" w:rsidRDefault="00880768" w:rsidP="00880768">
            <w:r>
              <w:t>Total sluttbruk (GWh)</w:t>
            </w:r>
          </w:p>
        </w:tc>
        <w:tc>
          <w:tcPr>
            <w:tcW w:w="1360" w:type="dxa"/>
          </w:tcPr>
          <w:p w:rsidR="00880768" w:rsidRDefault="00880768" w:rsidP="00880768">
            <w:r>
              <w:t>54 483</w:t>
            </w:r>
          </w:p>
        </w:tc>
        <w:tc>
          <w:tcPr>
            <w:tcW w:w="1360" w:type="dxa"/>
          </w:tcPr>
          <w:p w:rsidR="00880768" w:rsidRDefault="00880768" w:rsidP="00880768">
            <w:r>
              <w:t>54 331</w:t>
            </w:r>
          </w:p>
        </w:tc>
        <w:tc>
          <w:tcPr>
            <w:tcW w:w="1360" w:type="dxa"/>
          </w:tcPr>
          <w:p w:rsidR="00880768" w:rsidRDefault="00880768" w:rsidP="00880768">
            <w:r>
              <w:t>54 583</w:t>
            </w:r>
          </w:p>
        </w:tc>
        <w:tc>
          <w:tcPr>
            <w:tcW w:w="1340" w:type="dxa"/>
          </w:tcPr>
          <w:p w:rsidR="00880768" w:rsidRDefault="00880768" w:rsidP="00880768">
            <w:r>
              <w:t>52 161</w:t>
            </w:r>
          </w:p>
        </w:tc>
      </w:tr>
      <w:tr w:rsidR="00880768" w:rsidTr="00880768">
        <w:trPr>
          <w:trHeight w:val="360"/>
        </w:trPr>
        <w:tc>
          <w:tcPr>
            <w:tcW w:w="4100" w:type="dxa"/>
          </w:tcPr>
          <w:p w:rsidR="00880768" w:rsidRDefault="00880768" w:rsidP="00880768">
            <w:pPr>
              <w:pStyle w:val="Liste"/>
            </w:pPr>
            <w:r>
              <w:t>Vegtransport (GWh)</w:t>
            </w:r>
          </w:p>
        </w:tc>
        <w:tc>
          <w:tcPr>
            <w:tcW w:w="1360" w:type="dxa"/>
          </w:tcPr>
          <w:p w:rsidR="00880768" w:rsidRDefault="00880768" w:rsidP="00880768">
            <w:r>
              <w:t>38 690</w:t>
            </w:r>
          </w:p>
        </w:tc>
        <w:tc>
          <w:tcPr>
            <w:tcW w:w="1360" w:type="dxa"/>
          </w:tcPr>
          <w:p w:rsidR="00880768" w:rsidRDefault="00880768" w:rsidP="00880768">
            <w:r>
              <w:t>39 340</w:t>
            </w:r>
          </w:p>
        </w:tc>
        <w:tc>
          <w:tcPr>
            <w:tcW w:w="1360" w:type="dxa"/>
          </w:tcPr>
          <w:p w:rsidR="00880768" w:rsidRDefault="00880768" w:rsidP="00880768">
            <w:r>
              <w:t>40 268</w:t>
            </w:r>
          </w:p>
        </w:tc>
        <w:tc>
          <w:tcPr>
            <w:tcW w:w="1340" w:type="dxa"/>
          </w:tcPr>
          <w:p w:rsidR="00880768" w:rsidRDefault="00880768" w:rsidP="00880768">
            <w:r>
              <w:t>38 844</w:t>
            </w:r>
          </w:p>
        </w:tc>
      </w:tr>
      <w:tr w:rsidR="00880768" w:rsidTr="00880768">
        <w:trPr>
          <w:trHeight w:val="360"/>
        </w:trPr>
        <w:tc>
          <w:tcPr>
            <w:tcW w:w="4100" w:type="dxa"/>
          </w:tcPr>
          <w:p w:rsidR="00880768" w:rsidRDefault="00880768" w:rsidP="00880768">
            <w:pPr>
              <w:pStyle w:val="Liste"/>
            </w:pPr>
            <w:r>
              <w:t>Banetransport (GWh)</w:t>
            </w:r>
          </w:p>
        </w:tc>
        <w:tc>
          <w:tcPr>
            <w:tcW w:w="1360" w:type="dxa"/>
          </w:tcPr>
          <w:p w:rsidR="00880768" w:rsidRDefault="00880768" w:rsidP="00880768">
            <w:r>
              <w:t>699</w:t>
            </w:r>
          </w:p>
        </w:tc>
        <w:tc>
          <w:tcPr>
            <w:tcW w:w="1360" w:type="dxa"/>
          </w:tcPr>
          <w:p w:rsidR="00880768" w:rsidRDefault="00880768" w:rsidP="00880768">
            <w:r>
              <w:t>786</w:t>
            </w:r>
          </w:p>
        </w:tc>
        <w:tc>
          <w:tcPr>
            <w:tcW w:w="1360" w:type="dxa"/>
          </w:tcPr>
          <w:p w:rsidR="00880768" w:rsidRDefault="00880768" w:rsidP="00880768">
            <w:r>
              <w:t>732</w:t>
            </w:r>
          </w:p>
        </w:tc>
        <w:tc>
          <w:tcPr>
            <w:tcW w:w="1340" w:type="dxa"/>
          </w:tcPr>
          <w:p w:rsidR="00880768" w:rsidRDefault="00880768" w:rsidP="00880768">
            <w:r>
              <w:t>739</w:t>
            </w:r>
          </w:p>
        </w:tc>
      </w:tr>
      <w:tr w:rsidR="00880768" w:rsidTr="00880768">
        <w:trPr>
          <w:trHeight w:val="360"/>
        </w:trPr>
        <w:tc>
          <w:tcPr>
            <w:tcW w:w="4100" w:type="dxa"/>
          </w:tcPr>
          <w:p w:rsidR="00880768" w:rsidRDefault="00880768" w:rsidP="00880768">
            <w:pPr>
              <w:pStyle w:val="Liste"/>
            </w:pPr>
            <w:r>
              <w:t>Lufttransport (GWh)</w:t>
            </w:r>
          </w:p>
        </w:tc>
        <w:tc>
          <w:tcPr>
            <w:tcW w:w="1360" w:type="dxa"/>
          </w:tcPr>
          <w:p w:rsidR="00880768" w:rsidRDefault="00880768" w:rsidP="00880768">
            <w:r>
              <w:t>4 357</w:t>
            </w:r>
          </w:p>
        </w:tc>
        <w:tc>
          <w:tcPr>
            <w:tcW w:w="1360" w:type="dxa"/>
          </w:tcPr>
          <w:p w:rsidR="00880768" w:rsidRDefault="00880768" w:rsidP="00880768">
            <w:r>
              <w:t>4 429</w:t>
            </w:r>
          </w:p>
        </w:tc>
        <w:tc>
          <w:tcPr>
            <w:tcW w:w="1360" w:type="dxa"/>
          </w:tcPr>
          <w:p w:rsidR="00880768" w:rsidRDefault="00880768" w:rsidP="00880768">
            <w:r>
              <w:t>4 156</w:t>
            </w:r>
          </w:p>
        </w:tc>
        <w:tc>
          <w:tcPr>
            <w:tcW w:w="1340" w:type="dxa"/>
          </w:tcPr>
          <w:p w:rsidR="00880768" w:rsidRDefault="00880768" w:rsidP="00880768">
            <w:r>
              <w:t>4 212</w:t>
            </w:r>
          </w:p>
        </w:tc>
      </w:tr>
      <w:tr w:rsidR="00880768" w:rsidTr="00880768">
        <w:trPr>
          <w:trHeight w:val="360"/>
        </w:trPr>
        <w:tc>
          <w:tcPr>
            <w:tcW w:w="4100" w:type="dxa"/>
          </w:tcPr>
          <w:p w:rsidR="00880768" w:rsidRDefault="00880768" w:rsidP="00880768">
            <w:pPr>
              <w:pStyle w:val="Liste"/>
            </w:pPr>
            <w:r>
              <w:t>Kysttransport (GWh)</w:t>
            </w:r>
          </w:p>
        </w:tc>
        <w:tc>
          <w:tcPr>
            <w:tcW w:w="1360" w:type="dxa"/>
          </w:tcPr>
          <w:p w:rsidR="00880768" w:rsidRDefault="00880768" w:rsidP="00880768">
            <w:r>
              <w:t>10 725</w:t>
            </w:r>
          </w:p>
        </w:tc>
        <w:tc>
          <w:tcPr>
            <w:tcW w:w="1360" w:type="dxa"/>
          </w:tcPr>
          <w:p w:rsidR="00880768" w:rsidRDefault="00880768" w:rsidP="00880768">
            <w:r>
              <w:t>9 717</w:t>
            </w:r>
          </w:p>
        </w:tc>
        <w:tc>
          <w:tcPr>
            <w:tcW w:w="1360" w:type="dxa"/>
          </w:tcPr>
          <w:p w:rsidR="00880768" w:rsidRDefault="00880768" w:rsidP="00880768">
            <w:r>
              <w:t>9 427</w:t>
            </w:r>
          </w:p>
        </w:tc>
        <w:tc>
          <w:tcPr>
            <w:tcW w:w="1340" w:type="dxa"/>
          </w:tcPr>
          <w:p w:rsidR="00880768" w:rsidRDefault="00880768" w:rsidP="00880768">
            <w:r>
              <w:t>8 305</w:t>
            </w:r>
          </w:p>
        </w:tc>
      </w:tr>
      <w:tr w:rsidR="00880768" w:rsidTr="00880768">
        <w:trPr>
          <w:trHeight w:val="360"/>
        </w:trPr>
        <w:tc>
          <w:tcPr>
            <w:tcW w:w="4100" w:type="dxa"/>
          </w:tcPr>
          <w:p w:rsidR="00880768" w:rsidRDefault="00880768" w:rsidP="00880768">
            <w:r>
              <w:t>Køyretøykilometer (mill. km)</w:t>
            </w:r>
          </w:p>
        </w:tc>
        <w:tc>
          <w:tcPr>
            <w:tcW w:w="1360" w:type="dxa"/>
          </w:tcPr>
          <w:p w:rsidR="00880768" w:rsidRDefault="00880768" w:rsidP="00880768">
            <w:r>
              <w:t>43 594</w:t>
            </w:r>
          </w:p>
        </w:tc>
        <w:tc>
          <w:tcPr>
            <w:tcW w:w="1360" w:type="dxa"/>
          </w:tcPr>
          <w:p w:rsidR="00880768" w:rsidRDefault="00880768" w:rsidP="00880768">
            <w:r>
              <w:t>44 118</w:t>
            </w:r>
          </w:p>
        </w:tc>
        <w:tc>
          <w:tcPr>
            <w:tcW w:w="1360" w:type="dxa"/>
          </w:tcPr>
          <w:p w:rsidR="00880768" w:rsidRDefault="00880768" w:rsidP="00880768">
            <w:r>
              <w:t>44 801</w:t>
            </w:r>
          </w:p>
        </w:tc>
        <w:tc>
          <w:tcPr>
            <w:tcW w:w="1340" w:type="dxa"/>
          </w:tcPr>
          <w:p w:rsidR="00880768" w:rsidRDefault="00880768" w:rsidP="00880768">
            <w:r>
              <w:t>45 208</w:t>
            </w:r>
          </w:p>
        </w:tc>
      </w:tr>
      <w:tr w:rsidR="00880768" w:rsidTr="00880768">
        <w:trPr>
          <w:trHeight w:val="260"/>
        </w:trPr>
        <w:tc>
          <w:tcPr>
            <w:tcW w:w="4100" w:type="dxa"/>
          </w:tcPr>
          <w:p w:rsidR="00880768" w:rsidRDefault="00880768" w:rsidP="00880768"/>
        </w:tc>
        <w:tc>
          <w:tcPr>
            <w:tcW w:w="1360" w:type="dxa"/>
          </w:tcPr>
          <w:p w:rsidR="00880768" w:rsidRDefault="00880768" w:rsidP="00880768"/>
        </w:tc>
        <w:tc>
          <w:tcPr>
            <w:tcW w:w="1360" w:type="dxa"/>
          </w:tcPr>
          <w:p w:rsidR="00880768" w:rsidRDefault="00880768" w:rsidP="00880768"/>
        </w:tc>
        <w:tc>
          <w:tcPr>
            <w:tcW w:w="1360" w:type="dxa"/>
          </w:tcPr>
          <w:p w:rsidR="00880768" w:rsidRDefault="00880768" w:rsidP="00880768"/>
        </w:tc>
        <w:tc>
          <w:tcPr>
            <w:tcW w:w="1340" w:type="dxa"/>
          </w:tcPr>
          <w:p w:rsidR="00880768" w:rsidRDefault="00880768" w:rsidP="00880768"/>
        </w:tc>
      </w:tr>
      <w:tr w:rsidR="00880768" w:rsidTr="00880768">
        <w:trPr>
          <w:trHeight w:val="360"/>
        </w:trPr>
        <w:tc>
          <w:tcPr>
            <w:tcW w:w="4100" w:type="dxa"/>
          </w:tcPr>
          <w:p w:rsidR="00880768" w:rsidRDefault="00880768" w:rsidP="00880768">
            <w:r>
              <w:rPr>
                <w:rStyle w:val="kursiv"/>
                <w:sz w:val="21"/>
                <w:szCs w:val="21"/>
              </w:rPr>
              <w:t>Industri</w:t>
            </w:r>
          </w:p>
        </w:tc>
        <w:tc>
          <w:tcPr>
            <w:tcW w:w="1360" w:type="dxa"/>
          </w:tcPr>
          <w:p w:rsidR="00880768" w:rsidRDefault="00880768" w:rsidP="00880768"/>
        </w:tc>
        <w:tc>
          <w:tcPr>
            <w:tcW w:w="1360" w:type="dxa"/>
          </w:tcPr>
          <w:p w:rsidR="00880768" w:rsidRDefault="00880768" w:rsidP="00880768"/>
        </w:tc>
        <w:tc>
          <w:tcPr>
            <w:tcW w:w="1360" w:type="dxa"/>
          </w:tcPr>
          <w:p w:rsidR="00880768" w:rsidRDefault="00880768" w:rsidP="00880768"/>
        </w:tc>
        <w:tc>
          <w:tcPr>
            <w:tcW w:w="1340" w:type="dxa"/>
          </w:tcPr>
          <w:p w:rsidR="00880768" w:rsidRDefault="00880768" w:rsidP="00880768"/>
        </w:tc>
      </w:tr>
      <w:tr w:rsidR="00880768" w:rsidTr="00880768">
        <w:trPr>
          <w:trHeight w:val="360"/>
        </w:trPr>
        <w:tc>
          <w:tcPr>
            <w:tcW w:w="4100" w:type="dxa"/>
          </w:tcPr>
          <w:p w:rsidR="00880768" w:rsidRDefault="00880768" w:rsidP="00880768">
            <w:r>
              <w:t>Total sluttbruk (GWh)</w:t>
            </w:r>
          </w:p>
        </w:tc>
        <w:tc>
          <w:tcPr>
            <w:tcW w:w="1360" w:type="dxa"/>
          </w:tcPr>
          <w:p w:rsidR="00880768" w:rsidRDefault="00880768" w:rsidP="00880768">
            <w:r>
              <w:t>76 172</w:t>
            </w:r>
          </w:p>
        </w:tc>
        <w:tc>
          <w:tcPr>
            <w:tcW w:w="1360" w:type="dxa"/>
          </w:tcPr>
          <w:p w:rsidR="00880768" w:rsidRDefault="00880768" w:rsidP="00880768">
            <w:r>
              <w:t>75 460</w:t>
            </w:r>
          </w:p>
        </w:tc>
        <w:tc>
          <w:tcPr>
            <w:tcW w:w="1360" w:type="dxa"/>
          </w:tcPr>
          <w:p w:rsidR="00880768" w:rsidRDefault="00880768" w:rsidP="00880768">
            <w:r>
              <w:t>74 752</w:t>
            </w:r>
          </w:p>
        </w:tc>
        <w:tc>
          <w:tcPr>
            <w:tcW w:w="1340" w:type="dxa"/>
          </w:tcPr>
          <w:p w:rsidR="00880768" w:rsidRDefault="00880768" w:rsidP="00880768">
            <w:r>
              <w:t>77 858</w:t>
            </w:r>
          </w:p>
        </w:tc>
      </w:tr>
      <w:tr w:rsidR="00880768" w:rsidTr="00880768">
        <w:trPr>
          <w:trHeight w:val="360"/>
        </w:trPr>
        <w:tc>
          <w:tcPr>
            <w:tcW w:w="4100" w:type="dxa"/>
          </w:tcPr>
          <w:p w:rsidR="00880768" w:rsidRDefault="00880768" w:rsidP="00880768">
            <w:pPr>
              <w:pStyle w:val="Liste"/>
            </w:pPr>
            <w:r>
              <w:t>Kraftkrevjande industri (GWh)</w:t>
            </w:r>
          </w:p>
        </w:tc>
        <w:tc>
          <w:tcPr>
            <w:tcW w:w="1360" w:type="dxa"/>
          </w:tcPr>
          <w:p w:rsidR="00880768" w:rsidRDefault="00880768" w:rsidP="00880768">
            <w:r>
              <w:t>61 942</w:t>
            </w:r>
          </w:p>
        </w:tc>
        <w:tc>
          <w:tcPr>
            <w:tcW w:w="1360" w:type="dxa"/>
          </w:tcPr>
          <w:p w:rsidR="00880768" w:rsidRDefault="00880768" w:rsidP="00880768">
            <w:r>
              <w:t>61 582</w:t>
            </w:r>
          </w:p>
        </w:tc>
        <w:tc>
          <w:tcPr>
            <w:tcW w:w="1360" w:type="dxa"/>
          </w:tcPr>
          <w:p w:rsidR="00880768" w:rsidRDefault="00880768" w:rsidP="00880768">
            <w:r>
              <w:t>60 667</w:t>
            </w:r>
          </w:p>
        </w:tc>
        <w:tc>
          <w:tcPr>
            <w:tcW w:w="1340" w:type="dxa"/>
          </w:tcPr>
          <w:p w:rsidR="00880768" w:rsidRDefault="00880768" w:rsidP="00880768">
            <w:r>
              <w:t>63 067</w:t>
            </w:r>
          </w:p>
        </w:tc>
      </w:tr>
      <w:tr w:rsidR="00880768" w:rsidTr="00880768">
        <w:trPr>
          <w:trHeight w:val="620"/>
        </w:trPr>
        <w:tc>
          <w:tcPr>
            <w:tcW w:w="4100" w:type="dxa"/>
          </w:tcPr>
          <w:p w:rsidR="00880768" w:rsidRDefault="00880768" w:rsidP="00880768">
            <w:r>
              <w:t>Energiintensitet kraftkrevjande industri (kWh/kr)</w:t>
            </w:r>
          </w:p>
        </w:tc>
        <w:tc>
          <w:tcPr>
            <w:tcW w:w="1360" w:type="dxa"/>
          </w:tcPr>
          <w:p w:rsidR="00880768" w:rsidRDefault="00880768" w:rsidP="00880768">
            <w:r>
              <w:t>1,914</w:t>
            </w:r>
          </w:p>
        </w:tc>
        <w:tc>
          <w:tcPr>
            <w:tcW w:w="1360" w:type="dxa"/>
          </w:tcPr>
          <w:p w:rsidR="00880768" w:rsidRDefault="00880768" w:rsidP="00880768">
            <w:r>
              <w:t>1,908</w:t>
            </w:r>
          </w:p>
        </w:tc>
        <w:tc>
          <w:tcPr>
            <w:tcW w:w="1360" w:type="dxa"/>
          </w:tcPr>
          <w:p w:rsidR="00880768" w:rsidRDefault="00880768" w:rsidP="00880768">
            <w:r>
              <w:t>1,746</w:t>
            </w:r>
          </w:p>
        </w:tc>
        <w:tc>
          <w:tcPr>
            <w:tcW w:w="1340" w:type="dxa"/>
          </w:tcPr>
          <w:p w:rsidR="00880768" w:rsidRDefault="00880768" w:rsidP="00880768">
            <w:r>
              <w:t>1,683</w:t>
            </w:r>
          </w:p>
        </w:tc>
      </w:tr>
      <w:tr w:rsidR="00880768" w:rsidTr="00880768">
        <w:trPr>
          <w:trHeight w:val="360"/>
        </w:trPr>
        <w:tc>
          <w:tcPr>
            <w:tcW w:w="4100" w:type="dxa"/>
          </w:tcPr>
          <w:p w:rsidR="00880768" w:rsidRDefault="00880768" w:rsidP="00880768">
            <w:r>
              <w:t>Energiintensitet anna industri (kWh/kr)</w:t>
            </w:r>
          </w:p>
        </w:tc>
        <w:tc>
          <w:tcPr>
            <w:tcW w:w="1360" w:type="dxa"/>
          </w:tcPr>
          <w:p w:rsidR="00880768" w:rsidRDefault="00880768" w:rsidP="00880768">
            <w:r>
              <w:t>0,101</w:t>
            </w:r>
          </w:p>
        </w:tc>
        <w:tc>
          <w:tcPr>
            <w:tcW w:w="1360" w:type="dxa"/>
          </w:tcPr>
          <w:p w:rsidR="00880768" w:rsidRDefault="00880768" w:rsidP="00880768">
            <w:r>
              <w:t>0,097</w:t>
            </w:r>
          </w:p>
        </w:tc>
        <w:tc>
          <w:tcPr>
            <w:tcW w:w="1360" w:type="dxa"/>
          </w:tcPr>
          <w:p w:rsidR="00880768" w:rsidRDefault="00880768" w:rsidP="00880768">
            <w:r>
              <w:t>0,106</w:t>
            </w:r>
          </w:p>
        </w:tc>
        <w:tc>
          <w:tcPr>
            <w:tcW w:w="1340" w:type="dxa"/>
          </w:tcPr>
          <w:p w:rsidR="00880768" w:rsidRDefault="00880768" w:rsidP="00880768">
            <w:r>
              <w:t>0,113</w:t>
            </w:r>
          </w:p>
        </w:tc>
      </w:tr>
      <w:tr w:rsidR="00880768" w:rsidTr="00880768">
        <w:trPr>
          <w:trHeight w:val="360"/>
        </w:trPr>
        <w:tc>
          <w:tcPr>
            <w:tcW w:w="4100" w:type="dxa"/>
          </w:tcPr>
          <w:p w:rsidR="00880768" w:rsidRDefault="00880768" w:rsidP="00880768">
            <w:r>
              <w:t>Energiintensitet heile industrien (kWh/kr)</w:t>
            </w:r>
          </w:p>
        </w:tc>
        <w:tc>
          <w:tcPr>
            <w:tcW w:w="1360" w:type="dxa"/>
          </w:tcPr>
          <w:p w:rsidR="00880768" w:rsidRDefault="00880768" w:rsidP="00880768">
            <w:r>
              <w:t>0,438</w:t>
            </w:r>
          </w:p>
        </w:tc>
        <w:tc>
          <w:tcPr>
            <w:tcW w:w="1360" w:type="dxa"/>
          </w:tcPr>
          <w:p w:rsidR="00880768" w:rsidRDefault="00880768" w:rsidP="00880768">
            <w:r>
              <w:t>0,432</w:t>
            </w:r>
          </w:p>
        </w:tc>
        <w:tc>
          <w:tcPr>
            <w:tcW w:w="1360" w:type="dxa"/>
          </w:tcPr>
          <w:p w:rsidR="00880768" w:rsidRDefault="00880768" w:rsidP="00880768">
            <w:r>
              <w:t>0,447</w:t>
            </w:r>
          </w:p>
        </w:tc>
        <w:tc>
          <w:tcPr>
            <w:tcW w:w="1340" w:type="dxa"/>
          </w:tcPr>
          <w:p w:rsidR="00880768" w:rsidRDefault="00880768" w:rsidP="00880768">
            <w:r>
              <w:t>0,463</w:t>
            </w:r>
          </w:p>
        </w:tc>
      </w:tr>
      <w:tr w:rsidR="00880768" w:rsidTr="00880768">
        <w:trPr>
          <w:trHeight w:val="260"/>
        </w:trPr>
        <w:tc>
          <w:tcPr>
            <w:tcW w:w="4100" w:type="dxa"/>
          </w:tcPr>
          <w:p w:rsidR="00880768" w:rsidRDefault="00880768" w:rsidP="00880768"/>
        </w:tc>
        <w:tc>
          <w:tcPr>
            <w:tcW w:w="1360" w:type="dxa"/>
          </w:tcPr>
          <w:p w:rsidR="00880768" w:rsidRDefault="00880768" w:rsidP="00880768"/>
        </w:tc>
        <w:tc>
          <w:tcPr>
            <w:tcW w:w="1360" w:type="dxa"/>
          </w:tcPr>
          <w:p w:rsidR="00880768" w:rsidRDefault="00880768" w:rsidP="00880768"/>
        </w:tc>
        <w:tc>
          <w:tcPr>
            <w:tcW w:w="1360" w:type="dxa"/>
          </w:tcPr>
          <w:p w:rsidR="00880768" w:rsidRDefault="00880768" w:rsidP="00880768"/>
        </w:tc>
        <w:tc>
          <w:tcPr>
            <w:tcW w:w="1340" w:type="dxa"/>
          </w:tcPr>
          <w:p w:rsidR="00880768" w:rsidRDefault="00880768" w:rsidP="00880768"/>
        </w:tc>
      </w:tr>
      <w:tr w:rsidR="00880768" w:rsidTr="00880768">
        <w:trPr>
          <w:trHeight w:val="360"/>
        </w:trPr>
        <w:tc>
          <w:tcPr>
            <w:tcW w:w="4100" w:type="dxa"/>
          </w:tcPr>
          <w:p w:rsidR="00880768" w:rsidRDefault="00880768" w:rsidP="00880768">
            <w:r>
              <w:rPr>
                <w:rStyle w:val="kursiv"/>
                <w:sz w:val="21"/>
                <w:szCs w:val="21"/>
              </w:rPr>
              <w:t>Energiprisar</w:t>
            </w:r>
          </w:p>
        </w:tc>
        <w:tc>
          <w:tcPr>
            <w:tcW w:w="1360" w:type="dxa"/>
          </w:tcPr>
          <w:p w:rsidR="00880768" w:rsidRDefault="00880768" w:rsidP="00880768"/>
        </w:tc>
        <w:tc>
          <w:tcPr>
            <w:tcW w:w="1360" w:type="dxa"/>
          </w:tcPr>
          <w:p w:rsidR="00880768" w:rsidRDefault="00880768" w:rsidP="00880768"/>
        </w:tc>
        <w:tc>
          <w:tcPr>
            <w:tcW w:w="1360" w:type="dxa"/>
          </w:tcPr>
          <w:p w:rsidR="00880768" w:rsidRDefault="00880768" w:rsidP="00880768"/>
        </w:tc>
        <w:tc>
          <w:tcPr>
            <w:tcW w:w="1340" w:type="dxa"/>
          </w:tcPr>
          <w:p w:rsidR="00880768" w:rsidRDefault="00880768" w:rsidP="00880768"/>
        </w:tc>
      </w:tr>
      <w:tr w:rsidR="00880768" w:rsidTr="00880768">
        <w:trPr>
          <w:trHeight w:val="360"/>
        </w:trPr>
        <w:tc>
          <w:tcPr>
            <w:tcW w:w="4100" w:type="dxa"/>
          </w:tcPr>
          <w:p w:rsidR="00880768" w:rsidRDefault="00880768" w:rsidP="00880768">
            <w:r>
              <w:t>Kraftpris: øre/kWh (KPI-justert)</w:t>
            </w:r>
          </w:p>
        </w:tc>
        <w:tc>
          <w:tcPr>
            <w:tcW w:w="1360" w:type="dxa"/>
          </w:tcPr>
          <w:p w:rsidR="00880768" w:rsidRDefault="00880768" w:rsidP="00880768">
            <w:r>
              <w:t>30,89</w:t>
            </w:r>
          </w:p>
        </w:tc>
        <w:tc>
          <w:tcPr>
            <w:tcW w:w="1360" w:type="dxa"/>
          </w:tcPr>
          <w:p w:rsidR="00880768" w:rsidRDefault="00880768" w:rsidP="00880768">
            <w:r>
              <w:t>18,71</w:t>
            </w:r>
          </w:p>
        </w:tc>
        <w:tc>
          <w:tcPr>
            <w:tcW w:w="1360" w:type="dxa"/>
          </w:tcPr>
          <w:p w:rsidR="00880768" w:rsidRDefault="00880768" w:rsidP="00880768">
            <w:r>
              <w:t>24,10</w:t>
            </w:r>
          </w:p>
        </w:tc>
        <w:tc>
          <w:tcPr>
            <w:tcW w:w="1340" w:type="dxa"/>
          </w:tcPr>
          <w:p w:rsidR="00880768" w:rsidRDefault="00880768" w:rsidP="00880768">
            <w:r>
              <w:t>26,00</w:t>
            </w:r>
          </w:p>
        </w:tc>
      </w:tr>
      <w:tr w:rsidR="00880768" w:rsidTr="00880768">
        <w:trPr>
          <w:trHeight w:val="360"/>
        </w:trPr>
        <w:tc>
          <w:tcPr>
            <w:tcW w:w="4100" w:type="dxa"/>
          </w:tcPr>
          <w:p w:rsidR="00880768" w:rsidRPr="004C1F72" w:rsidRDefault="00880768" w:rsidP="00880768">
            <w:pPr>
              <w:rPr>
                <w:lang w:val="en-US"/>
              </w:rPr>
            </w:pPr>
            <w:r w:rsidRPr="004C1F72">
              <w:rPr>
                <w:lang w:val="en-US"/>
              </w:rPr>
              <w:t>Oljepris (Brent crude: USD/fat)</w:t>
            </w:r>
          </w:p>
        </w:tc>
        <w:tc>
          <w:tcPr>
            <w:tcW w:w="1360" w:type="dxa"/>
          </w:tcPr>
          <w:p w:rsidR="00880768" w:rsidRDefault="00880768" w:rsidP="00880768">
            <w:r>
              <w:t>93,74</w:t>
            </w:r>
          </w:p>
        </w:tc>
        <w:tc>
          <w:tcPr>
            <w:tcW w:w="1360" w:type="dxa"/>
          </w:tcPr>
          <w:p w:rsidR="00880768" w:rsidRDefault="00880768" w:rsidP="00880768">
            <w:r>
              <w:t>52,39</w:t>
            </w:r>
          </w:p>
        </w:tc>
        <w:tc>
          <w:tcPr>
            <w:tcW w:w="1360" w:type="dxa"/>
          </w:tcPr>
          <w:p w:rsidR="00880768" w:rsidRDefault="00880768" w:rsidP="00880768">
            <w:r>
              <w:t>43,73</w:t>
            </w:r>
          </w:p>
        </w:tc>
        <w:tc>
          <w:tcPr>
            <w:tcW w:w="1340" w:type="dxa"/>
          </w:tcPr>
          <w:p w:rsidR="00880768" w:rsidRDefault="00880768" w:rsidP="00880768">
            <w:r>
              <w:t>54,19</w:t>
            </w:r>
          </w:p>
        </w:tc>
      </w:tr>
      <w:tr w:rsidR="00880768" w:rsidTr="00880768">
        <w:trPr>
          <w:trHeight w:val="260"/>
        </w:trPr>
        <w:tc>
          <w:tcPr>
            <w:tcW w:w="4100" w:type="dxa"/>
          </w:tcPr>
          <w:p w:rsidR="00880768" w:rsidRDefault="00880768" w:rsidP="00880768"/>
        </w:tc>
        <w:tc>
          <w:tcPr>
            <w:tcW w:w="1360" w:type="dxa"/>
          </w:tcPr>
          <w:p w:rsidR="00880768" w:rsidRDefault="00880768" w:rsidP="00880768"/>
        </w:tc>
        <w:tc>
          <w:tcPr>
            <w:tcW w:w="1360" w:type="dxa"/>
          </w:tcPr>
          <w:p w:rsidR="00880768" w:rsidRDefault="00880768" w:rsidP="00880768"/>
        </w:tc>
        <w:tc>
          <w:tcPr>
            <w:tcW w:w="1360" w:type="dxa"/>
          </w:tcPr>
          <w:p w:rsidR="00880768" w:rsidRDefault="00880768" w:rsidP="00880768"/>
        </w:tc>
        <w:tc>
          <w:tcPr>
            <w:tcW w:w="1340" w:type="dxa"/>
          </w:tcPr>
          <w:p w:rsidR="00880768" w:rsidRDefault="00880768" w:rsidP="00880768"/>
        </w:tc>
      </w:tr>
      <w:tr w:rsidR="00880768" w:rsidTr="00880768">
        <w:trPr>
          <w:trHeight w:val="360"/>
        </w:trPr>
        <w:tc>
          <w:tcPr>
            <w:tcW w:w="4100" w:type="dxa"/>
          </w:tcPr>
          <w:p w:rsidR="00880768" w:rsidRDefault="00880768" w:rsidP="00880768">
            <w:r>
              <w:rPr>
                <w:rStyle w:val="kursiv"/>
                <w:sz w:val="21"/>
                <w:szCs w:val="21"/>
              </w:rPr>
              <w:t>Demografiske forhold</w:t>
            </w:r>
          </w:p>
        </w:tc>
        <w:tc>
          <w:tcPr>
            <w:tcW w:w="1360" w:type="dxa"/>
          </w:tcPr>
          <w:p w:rsidR="00880768" w:rsidRDefault="00880768" w:rsidP="00880768"/>
        </w:tc>
        <w:tc>
          <w:tcPr>
            <w:tcW w:w="1360" w:type="dxa"/>
          </w:tcPr>
          <w:p w:rsidR="00880768" w:rsidRDefault="00880768" w:rsidP="00880768"/>
        </w:tc>
        <w:tc>
          <w:tcPr>
            <w:tcW w:w="1360" w:type="dxa"/>
          </w:tcPr>
          <w:p w:rsidR="00880768" w:rsidRDefault="00880768" w:rsidP="00880768"/>
        </w:tc>
        <w:tc>
          <w:tcPr>
            <w:tcW w:w="1340" w:type="dxa"/>
          </w:tcPr>
          <w:p w:rsidR="00880768" w:rsidRDefault="00880768" w:rsidP="00880768"/>
        </w:tc>
      </w:tr>
      <w:tr w:rsidR="00880768" w:rsidTr="00880768">
        <w:trPr>
          <w:trHeight w:val="360"/>
        </w:trPr>
        <w:tc>
          <w:tcPr>
            <w:tcW w:w="4100" w:type="dxa"/>
          </w:tcPr>
          <w:p w:rsidR="00880768" w:rsidRDefault="00880768" w:rsidP="00880768">
            <w:r>
              <w:t>Befolkning</w:t>
            </w:r>
          </w:p>
        </w:tc>
        <w:tc>
          <w:tcPr>
            <w:tcW w:w="1360" w:type="dxa"/>
          </w:tcPr>
          <w:p w:rsidR="00880768" w:rsidRDefault="00880768" w:rsidP="00880768">
            <w:r>
              <w:t>5 044 734</w:t>
            </w:r>
          </w:p>
        </w:tc>
        <w:tc>
          <w:tcPr>
            <w:tcW w:w="1360" w:type="dxa"/>
          </w:tcPr>
          <w:p w:rsidR="00880768" w:rsidRDefault="00880768" w:rsidP="00880768">
            <w:r>
              <w:t>5 189 894</w:t>
            </w:r>
          </w:p>
        </w:tc>
        <w:tc>
          <w:tcPr>
            <w:tcW w:w="1360" w:type="dxa"/>
          </w:tcPr>
          <w:p w:rsidR="00880768" w:rsidRDefault="00880768" w:rsidP="00880768">
            <w:r>
              <w:t>5 236 151</w:t>
            </w:r>
          </w:p>
        </w:tc>
        <w:tc>
          <w:tcPr>
            <w:tcW w:w="1340" w:type="dxa"/>
          </w:tcPr>
          <w:p w:rsidR="00880768" w:rsidRDefault="00880768" w:rsidP="00880768">
            <w:r>
              <w:t>5 276 968</w:t>
            </w:r>
          </w:p>
        </w:tc>
      </w:tr>
      <w:tr w:rsidR="00880768" w:rsidTr="00880768">
        <w:trPr>
          <w:trHeight w:val="360"/>
        </w:trPr>
        <w:tc>
          <w:tcPr>
            <w:tcW w:w="4100" w:type="dxa"/>
          </w:tcPr>
          <w:p w:rsidR="00880768" w:rsidRDefault="00880768" w:rsidP="00880768">
            <w:r>
              <w:t>Del av befolkning i tettbygd strøk</w:t>
            </w:r>
          </w:p>
        </w:tc>
        <w:tc>
          <w:tcPr>
            <w:tcW w:w="1360" w:type="dxa"/>
          </w:tcPr>
          <w:p w:rsidR="00880768" w:rsidRDefault="00880768" w:rsidP="00880768">
            <w:r>
              <w:t>79,82 pr</w:t>
            </w:r>
            <w:r>
              <w:t>o</w:t>
            </w:r>
            <w:r>
              <w:t>sent</w:t>
            </w:r>
          </w:p>
        </w:tc>
        <w:tc>
          <w:tcPr>
            <w:tcW w:w="1360" w:type="dxa"/>
          </w:tcPr>
          <w:p w:rsidR="00880768" w:rsidRDefault="00880768" w:rsidP="00880768">
            <w:r>
              <w:t>80,78 pr</w:t>
            </w:r>
            <w:r>
              <w:t>o</w:t>
            </w:r>
            <w:r>
              <w:t>sent</w:t>
            </w:r>
          </w:p>
        </w:tc>
        <w:tc>
          <w:tcPr>
            <w:tcW w:w="1360" w:type="dxa"/>
          </w:tcPr>
          <w:p w:rsidR="00880768" w:rsidRDefault="00880768" w:rsidP="00880768">
            <w:r>
              <w:t>81,13 pr</w:t>
            </w:r>
            <w:r>
              <w:t>o</w:t>
            </w:r>
            <w:r>
              <w:t>sent</w:t>
            </w:r>
          </w:p>
        </w:tc>
        <w:tc>
          <w:tcPr>
            <w:tcW w:w="1340" w:type="dxa"/>
          </w:tcPr>
          <w:p w:rsidR="00880768" w:rsidRDefault="00880768" w:rsidP="00880768">
            <w:r>
              <w:t>81,46 pr</w:t>
            </w:r>
            <w:r>
              <w:t>o</w:t>
            </w:r>
            <w:r>
              <w:t>sent</w:t>
            </w:r>
          </w:p>
        </w:tc>
      </w:tr>
    </w:tbl>
    <w:p w:rsidR="00880768" w:rsidRDefault="00880768" w:rsidP="0033115A">
      <w:pPr>
        <w:pStyle w:val="Kilde"/>
      </w:pPr>
      <w:r>
        <w:rPr>
          <w:sz w:val="17"/>
          <w:szCs w:val="17"/>
        </w:rPr>
        <w:t>SSB, Metrologisk institutt, Nordpool, OED</w:t>
      </w:r>
    </w:p>
    <w:p w:rsidR="00880768" w:rsidRDefault="00880768" w:rsidP="00880768">
      <w:r>
        <w:t>Figur 13.1 viser korleis energibruken fordeler seg på ulike energiprodukt. Elektrisitet, olje og olj</w:t>
      </w:r>
      <w:r>
        <w:t>e</w:t>
      </w:r>
      <w:r>
        <w:t xml:space="preserve">produkt står for størstedelen av energibruken i Noreg, om lag 83 prosent i 2017. Elektrisiteten sin del har vore stabil over mange år og utgjorde 53 prosent i 2017. Bruken av olje og oljeprodukt har minska dei seinare åra, frå 37 prosent av total sluttbruk i toppåret 2006, til 30 prosent i 2017. </w:t>
      </w:r>
    </w:p>
    <w:p w:rsidR="00880768" w:rsidRDefault="00880768" w:rsidP="00880768">
      <w:r>
        <w:t>Bioenergi er den tredje største energiberaren, men bruken har variert relativt mykje dei seinare åra. I 2017 var forbruket det høgaste sidan 2010, nær 15 TWh, eller 7 prosent av den samla sluttbruken. Mykje av auken i bruken av biobrensel ser ut til å ha erstatta olje og oljeprodukt i transportsekt</w:t>
      </w:r>
      <w:r>
        <w:t>o</w:t>
      </w:r>
      <w:r>
        <w:t xml:space="preserve">ren. </w:t>
      </w:r>
    </w:p>
    <w:p w:rsidR="00880768" w:rsidRDefault="00880768" w:rsidP="00880768">
      <w:r>
        <w:lastRenderedPageBreak/>
        <w:t xml:space="preserve">Bruk av fjernvarme har gradvis vakse fram dei </w:t>
      </w:r>
      <w:proofErr w:type="gramStart"/>
      <w:r>
        <w:t>siste 30 åra</w:t>
      </w:r>
      <w:proofErr w:type="gramEnd"/>
      <w:r>
        <w:t xml:space="preserve">, og stod for 5,5 TWh av sluttbruken av energi i 2017. Innanlandsk bruk av naturgass har auka gradvis over ein 20-årsperiode og utgjorde 5,2 TWh i 2017. I tillegg blir det brukt godt over 1 TWh avfall som energi i Noreg, og i industrien blir det brukt nærare 8 TWh kol og kolprodukt. </w:t>
      </w:r>
    </w:p>
    <w:p w:rsidR="00880768" w:rsidRDefault="005A2B4F" w:rsidP="005A2B4F">
      <w:pPr>
        <w:pStyle w:val="Figur"/>
      </w:pPr>
      <w:r>
        <w:t>[:figur:figX-X.jpg]</w:t>
      </w:r>
    </w:p>
    <w:p w:rsidR="00880768" w:rsidRDefault="00880768" w:rsidP="00880768">
      <w:pPr>
        <w:pStyle w:val="figur-tittel"/>
      </w:pPr>
      <w:r>
        <w:t>Energiprodukt sin del av innanlands sluttbruk i 2017</w:t>
      </w:r>
    </w:p>
    <w:p w:rsidR="00880768" w:rsidRDefault="00880768" w:rsidP="00880768">
      <w:pPr>
        <w:pStyle w:val="Overskrift2"/>
      </w:pPr>
      <w:r>
        <w:t>Energibruk i industrien</w:t>
      </w:r>
    </w:p>
    <w:p w:rsidR="00880768" w:rsidRDefault="00880768" w:rsidP="00880768">
      <w:r>
        <w:t>I 2017 utgjorde industrien sin energibruk 73,5 TWh og verdiskapinga var nær 169 mrd. kroner. I gjennomsnitt betyr dette at industrien brukar 0,4 kWh for kvar krone den tilfører økonomien i ve</w:t>
      </w:r>
      <w:r>
        <w:t>r</w:t>
      </w:r>
      <w:r>
        <w:t>diskaping (energiintensiteten). Figur 12.2 viser industrien si utvikling i verdiskaping, energibruk og energiintensitet tilbake til 2003.</w:t>
      </w:r>
    </w:p>
    <w:p w:rsidR="00880768" w:rsidRDefault="00880768" w:rsidP="00880768">
      <w:r>
        <w:t>Industrien har tradisjonelt stått for ein stor del av energibruken i Noreg. Sluttbruken har variert mellom om lag 70 og 79 TWh heilt sidan 1990-talet, med unntak av botnåret 2009 då sluttbruken var 63 TWh. Industrien sin del av energibruken var 41 prosent i 1990, og har etter 2010 vore me</w:t>
      </w:r>
      <w:r>
        <w:t>l</w:t>
      </w:r>
      <w:r>
        <w:t xml:space="preserve">lom 33 og 34,5 prosent. </w:t>
      </w:r>
    </w:p>
    <w:p w:rsidR="00880768" w:rsidRDefault="00880768" w:rsidP="00880768">
      <w:r>
        <w:t>Norsk industri består av ca. 20 000 bedrifter innanfor ei rekkje næringar, og sysselset totalt 230 000 personar. Om lag 100 av desse bedriftene driv kraftintensiv verksemd. Kraftintensiv industri o</w:t>
      </w:r>
      <w:r>
        <w:t>m</w:t>
      </w:r>
      <w:r>
        <w:t xml:space="preserve">fattar produksjon av papir, metall og kjemisk industri. Desse industriane har hatt ein stabil del på om lag 80 prosent av industrien sin totale energibruk. </w:t>
      </w:r>
    </w:p>
    <w:p w:rsidR="00880768" w:rsidRDefault="00880768" w:rsidP="00880768">
      <w:r>
        <w:t>I kraftintensiv industri kan energikostnadene utgjere så mykje som 20–30 prosent av dei samla kostnadene. Dette er òg reflektert i energiintensiteten i dei ulike delane av industrien. I 2017 var energiintensiteten i kraftintensiv industri 1,7 kWh per krone bruttoprodukt, mot 0,1 kWh per krone bruttoprodukt i anna industri.</w:t>
      </w:r>
    </w:p>
    <w:p w:rsidR="00880768" w:rsidRDefault="005A2B4F" w:rsidP="005A2B4F">
      <w:pPr>
        <w:pStyle w:val="Figur"/>
      </w:pPr>
      <w:r>
        <w:t>[:figur:figX-X.jpg]</w:t>
      </w:r>
    </w:p>
    <w:p w:rsidR="00880768" w:rsidRDefault="00880768" w:rsidP="00880768">
      <w:pPr>
        <w:pStyle w:val="figur-tittel"/>
      </w:pPr>
      <w:r>
        <w:t>Utviklinga i bruttoprodukt, energibruk og energiintensitet frå 2003 til 2017</w:t>
      </w:r>
    </w:p>
    <w:p w:rsidR="00880768" w:rsidRDefault="00880768" w:rsidP="00880768">
      <w:r>
        <w:t>All effektivisering i industrien kan gi høgare verdiskaping og lågare energiintensitet. Dersom e</w:t>
      </w:r>
      <w:r>
        <w:t>f</w:t>
      </w:r>
      <w:r>
        <w:t>fektiviseringa medverkar til å avgrense energibruken kan det gi ein særleg stor verknad på u</w:t>
      </w:r>
      <w:r>
        <w:t>t</w:t>
      </w:r>
      <w:r>
        <w:t xml:space="preserve">viklinga i energiintensiteten. </w:t>
      </w:r>
    </w:p>
    <w:p w:rsidR="00880768" w:rsidRDefault="00880768" w:rsidP="00880768">
      <w:r>
        <w:t xml:space="preserve">Det er likevel mange andre faktorar som påverkar verdiskaping og energibruk i industrien frå år til år, og dermed energiintensiteten. Variasjonar i prisar på energi og andre produksjonsmiddel, og prisar på sjølve produkta kan påverke lønnsemda. Dermed blir energiintensiteten òg påverka, utan at det nødvendigvis er uttrykk for ei effektivisering. </w:t>
      </w:r>
    </w:p>
    <w:p w:rsidR="00880768" w:rsidRDefault="00880768" w:rsidP="00880768">
      <w:r>
        <w:t>Norsk industri har over mange år jobba med energieffektivisering i nye og eksisterande produ</w:t>
      </w:r>
      <w:r>
        <w:t>k</w:t>
      </w:r>
      <w:r>
        <w:t xml:space="preserve">sjonsanlegg. I følgje Enovas prosjektlister (2012–2017) er det gitt 5,11 mrd. kroner i støtte til 1106 store og små prosjekt i industrien. Det samla energiresultatet er estimert til 5,83 TWh. </w:t>
      </w:r>
    </w:p>
    <w:p w:rsidR="00880768" w:rsidRDefault="00880768" w:rsidP="00880768">
      <w:pPr>
        <w:pStyle w:val="Overskrift2"/>
      </w:pPr>
      <w:r>
        <w:t>Energibruk i bygg</w:t>
      </w:r>
    </w:p>
    <w:p w:rsidR="00880768" w:rsidRDefault="00880768" w:rsidP="00880768">
      <w:r>
        <w:t xml:space="preserve">Energibruken i tenesteytande næringar og hushald kan i stor grad koplast til bygningsmassen. I 2017 var energibruken i bygg 82 TWh, og representerte om lag 40 prosent av innanlands sluttbruk av energi. Mellom 50 og 80 prosent av energibruken i bustader er knytt til oppvarming, avhengig av type og alder på bustaden. Energibruken kan variere mykje frå eit år til eit anna avhengig av </w:t>
      </w:r>
      <w:r>
        <w:lastRenderedPageBreak/>
        <w:t>utetemperatur. I det kalde året 2010 var energibruken i bygg 87 TWh, mens bruken var 79 TWh i 2009 som var eit langt mildare år.</w:t>
      </w:r>
    </w:p>
    <w:p w:rsidR="00880768" w:rsidRDefault="00880768" w:rsidP="00880768">
      <w:r>
        <w:t>Enova har ei rekkje verkemiddel retta mot energieffektivisering i bygg. Utskiftinga av gamle bygg vil òg medverke til å effektivisere energibruken. Strenge energikrav gjennom byggjeteknisk fo</w:t>
      </w:r>
      <w:r>
        <w:t>r</w:t>
      </w:r>
      <w:r>
        <w:t>skrift (TEK) vil avgrense varmetapet. I 2017 var nybyggmarknaden på 171 mrd. kroner og mar</w:t>
      </w:r>
      <w:r>
        <w:t>k</w:t>
      </w:r>
      <w:r>
        <w:t>naden for rehabilitering, oppgradering og tilbygg (ROT) av bustader og yrkesbygg var om lag 159 mrd. kroner. Hovuddelen av ROT-marknaden er vedlikehald av eksisterande bygg, og noko av denne verksemda vil medverke til meir energieffektive bygg.</w:t>
      </w:r>
    </w:p>
    <w:p w:rsidR="00880768" w:rsidRDefault="00880768" w:rsidP="00880768">
      <w:r>
        <w:t xml:space="preserve">EU er ein pådrivar til å effektivisere apparat og set minimumskrav til energieffektivitet, utslepp, materialbruk og støy, jf. Økodesigndirektivet (2009/125/EC). Dei produkta som ikkje oppfyller desse krava, blir i praksis forbodne </w:t>
      </w:r>
      <w:proofErr w:type="gramStart"/>
      <w:r>
        <w:t>å</w:t>
      </w:r>
      <w:proofErr w:type="gramEnd"/>
      <w:r>
        <w:t xml:space="preserve"> omsetje i EU/EØS. I tillegg til minimumskrav har EU innført ei forordning om energimerking (2010/30/EU). Energimerking skal hjelpe forbrukarar til </w:t>
      </w:r>
      <w:proofErr w:type="gramStart"/>
      <w:r>
        <w:t>å</w:t>
      </w:r>
      <w:proofErr w:type="gramEnd"/>
      <w:r>
        <w:t xml:space="preserve"> velje dei mest energieffektive produkta. EU anslår sjølv at økodesigndirektivet og energimerkeordninga vil medverke til </w:t>
      </w:r>
      <w:proofErr w:type="gramStart"/>
      <w:r>
        <w:t>å</w:t>
      </w:r>
      <w:proofErr w:type="gramEnd"/>
      <w:r>
        <w:t xml:space="preserve"> nå nær halvparten av målet om 20 prosent energieffektivisering i 2020. For 2030 er energiinnsparinga i bygg som følje av økodesign, berekna til 659 TWh elektrisitet og 1 311 TWh i brensle/varme i EU. </w:t>
      </w:r>
    </w:p>
    <w:p w:rsidR="00880768" w:rsidRDefault="00880768" w:rsidP="00880768">
      <w:r>
        <w:t xml:space="preserve">SSB har sett nærare på utviklinga i hushald sitt straumforbruk. Energiforbruket per hushald var på rundt 18 000 kWh per år på midten av 1990-talet. Dei siste åra har straumforbruket stabilisert seg på om lag 16 000 kWh per hushald. SSB peiker på høge straumprisar tidleg på 2000-talet, betre isolasjon av bustader, meir effektive elektriske apparat og innføring av strengare krav til nybygg (TEK) som moglege årsaker til nedgangen i straumforbruk i hushald. </w:t>
      </w:r>
    </w:p>
    <w:p w:rsidR="00880768" w:rsidRDefault="00880768" w:rsidP="00880768">
      <w:pPr>
        <w:pStyle w:val="Overskrift2"/>
      </w:pPr>
      <w:r>
        <w:t xml:space="preserve">Energibruk i transportsektoren </w:t>
      </w:r>
    </w:p>
    <w:p w:rsidR="00880768" w:rsidRDefault="00880768" w:rsidP="00880768">
      <w:r>
        <w:t xml:space="preserve">Transportsektoren omfattar vegtransport, kysttransport, lufttransport og bane. I 2017 vart det brukt om lag 52 TWh energi til transport i Noreg. Dette svarer til ein reduksjon i energibruken på over 4 prosent frå 2016. Energibruken har gått ned i veg- og kysttransport, mens det er </w:t>
      </w:r>
      <w:proofErr w:type="gramStart"/>
      <w:r>
        <w:t>små</w:t>
      </w:r>
      <w:proofErr w:type="gramEnd"/>
      <w:r>
        <w:t xml:space="preserve"> endringar i luft- og banetransport. I kysttransport var nedgangen i energibruken 1,1 TWh frå 2016 til 2017, noko som svarar til ein reduksjon på nesten 12 prosent.</w:t>
      </w:r>
    </w:p>
    <w:p w:rsidR="00880768" w:rsidRDefault="00880768" w:rsidP="00880768">
      <w:r>
        <w:t>Vegtransport står for den største delen av den totale energibruken til transportformål. Her minska energibruken med 1,4 TWh i 2017 samanlikna med 2016, tilsvarande 3,5 prosent. Dette til trass for at samla køyrelengd auka med 0,9 prosent i same periode. El- og hybridbilar stod for 8 prosent av samla køyrelengd i 2017, ein auke på meir enn 40 prosent. I 2017 var 40 prosent av alle nyregis</w:t>
      </w:r>
      <w:r>
        <w:t>t</w:t>
      </w:r>
      <w:r>
        <w:t>rerte personbilar elbilar eller ladbare hybridar.</w:t>
      </w:r>
    </w:p>
    <w:p w:rsidR="00880768" w:rsidRDefault="00880768" w:rsidP="00880768">
      <w:r>
        <w:t>Innføring av eldrivne køyretøy gir betydeleg energieffektiviseringsgevinst fordi verknadsgraden i el-motoren er høg. Dette vil gi reduksjon i den samla energibruken samtidig som bruken av elektr</w:t>
      </w:r>
      <w:r>
        <w:t>i</w:t>
      </w:r>
      <w:r>
        <w:t>sitet vil auke. Lading av elbilar skjer ofte i tilknyting til bygg og energibruken er ikkje skilt frå a</w:t>
      </w:r>
      <w:r>
        <w:t>n</w:t>
      </w:r>
      <w:r>
        <w:t>na energibruk i bygningar. Det vil kunne bli lettare å få formålsdelte tal for energibruk ved innf</w:t>
      </w:r>
      <w:r>
        <w:t>ø</w:t>
      </w:r>
      <w:r>
        <w:t>ringa av AMS-målarar.</w:t>
      </w:r>
    </w:p>
    <w:p w:rsidR="00880768" w:rsidRDefault="00880768" w:rsidP="00880768">
      <w:r>
        <w:t xml:space="preserve">Betre og billigare batterielektriske køyretøy, lettare og billegare batteri og betre infrastruktur for lading har vore viktig for elektrifiseringa av både veg- og kysttransport. Fleire statlege verkemiddel har òg stimulert til elektrifisering i transportsektoren. Enova støttar utbygging av infrastruktur for meir klimavennleg og energieffektiv transport, både langs vegar og i hamner. </w:t>
      </w:r>
    </w:p>
    <w:p w:rsidR="00880768" w:rsidRDefault="00880768" w:rsidP="00880768">
      <w:pPr>
        <w:pStyle w:val="Overskrift1"/>
      </w:pPr>
      <w:r>
        <w:t>Olje- og energidepartementets beredskapsarbeid</w:t>
      </w:r>
    </w:p>
    <w:p w:rsidR="00880768" w:rsidRDefault="00880768" w:rsidP="00880768">
      <w:r>
        <w:t xml:space="preserve">Olje- og energidepartementet (OED) har det overordna ansvaret for viktige samfunnsfunksjonar og beredskapsområde knytt til kraftforsyninga. OED har ansvar og oppgåver knytt til </w:t>
      </w:r>
      <w:proofErr w:type="gramStart"/>
      <w:r>
        <w:t>å</w:t>
      </w:r>
      <w:proofErr w:type="gramEnd"/>
      <w:r>
        <w:t xml:space="preserve"> førebyggje </w:t>
      </w:r>
      <w:r>
        <w:lastRenderedPageBreak/>
        <w:t>skade som følgje av brot på dammar, flaum og skred. Departementet har sektoransvar for olje- og gassaktivitetane på kontinentalsokkelen og på land. Arbeids- og sosialdepartementet har rege</w:t>
      </w:r>
      <w:r>
        <w:t>l</w:t>
      </w:r>
      <w:r>
        <w:t xml:space="preserve">verks- og tilsynsansvar for HMS og sikring, inkludert beredskap, i petroleumsverksemda. OED har òg ansvar for departementets eigen beredskap og for </w:t>
      </w:r>
      <w:proofErr w:type="gramStart"/>
      <w:r>
        <w:t>å</w:t>
      </w:r>
      <w:proofErr w:type="gramEnd"/>
      <w:r>
        <w:t xml:space="preserve"> vere budd på å ta del i sentral handtering ved nasjonale kriser. </w:t>
      </w:r>
    </w:p>
    <w:p w:rsidR="00880768" w:rsidRDefault="00880768" w:rsidP="00880768">
      <w:pPr>
        <w:pStyle w:val="Overskrift2"/>
      </w:pPr>
      <w:r>
        <w:t xml:space="preserve">Forsyningstryggleik for elektrisitet </w:t>
      </w:r>
    </w:p>
    <w:p w:rsidR="00880768" w:rsidRDefault="00880768" w:rsidP="00880768">
      <w:r>
        <w:t xml:space="preserve">Eit overordna mål for energi- og vassressursområdet er </w:t>
      </w:r>
      <w:proofErr w:type="gramStart"/>
      <w:r>
        <w:t>å</w:t>
      </w:r>
      <w:proofErr w:type="gramEnd"/>
      <w:r>
        <w:t xml:space="preserve"> leggje til rette for ei effektiv, sikker og miljøvennleg energiforsyning. Målet om ei sikker kraftforsyning dreier seg både om </w:t>
      </w:r>
      <w:proofErr w:type="gramStart"/>
      <w:r>
        <w:t>å</w:t>
      </w:r>
      <w:proofErr w:type="gramEnd"/>
      <w:r>
        <w:t xml:space="preserve"> halde ved lag og betre forsyningstryggleiken, minimere konsekvensane av avbrot og opprette forsyninga igjen på ein effektiv måte. Kraftforsyning er rekna som ein sentral del av Noregs kritiske infr</w:t>
      </w:r>
      <w:r>
        <w:t>a</w:t>
      </w:r>
      <w:r>
        <w:t>struktur. Tilgang på elektrisk kraft blir stadig viktigare for å kunne halde ved lag normal aktivitet i samfunnet. Stabil og sikker elektrisitetsforsyning er òg av stor verdi for å sikre kritiske samfunn</w:t>
      </w:r>
      <w:r>
        <w:t>s</w:t>
      </w:r>
      <w:r>
        <w:t xml:space="preserve">funksjonar i krisesituasjonar, og for </w:t>
      </w:r>
      <w:proofErr w:type="gramStart"/>
      <w:r>
        <w:t>å</w:t>
      </w:r>
      <w:proofErr w:type="gramEnd"/>
      <w:r>
        <w:t xml:space="preserve"> halde ved lag landet si forsvarsevne under beredskap og i krig. Som ein del av arbeidet med samfunnstryggleik og beredskap, gjorde departementet ei vurd</w:t>
      </w:r>
      <w:r>
        <w:t>e</w:t>
      </w:r>
      <w:r>
        <w:t>ring av tilstanden i kraftforsyninga i Prop. 1 S (2017–2018). Vurderinga er framleis gjeldande.</w:t>
      </w:r>
    </w:p>
    <w:p w:rsidR="00880768" w:rsidRDefault="00880768" w:rsidP="00880768">
      <w:r>
        <w:t>Det operative ansvaret for kraftforsyningsberedskapen er delegert til Noregs vassdrags- og energ</w:t>
      </w:r>
      <w:r>
        <w:t>i</w:t>
      </w:r>
      <w:r>
        <w:t>direktorat (NVE), som er beredskapsstyresmakt etter energilova kapittel 9. NVE leier Kraftfors</w:t>
      </w:r>
      <w:r>
        <w:t>y</w:t>
      </w:r>
      <w:r>
        <w:t xml:space="preserve">ningas beredskapsorganisasjon (KBO), der einingane i kraftforsyninga deltek. </w:t>
      </w:r>
    </w:p>
    <w:p w:rsidR="00880768" w:rsidRDefault="00880768" w:rsidP="00880768">
      <w:r>
        <w:t>Ved problem over kortare tid med å balansere forbruk og tilgjengeleg forsyning (effektmangel) har Statnett som systemansvarleg fullmakt til å treffe nødvendige tiltak. Forsyningstryggleiken i Noreg er god, men aktørar som er heilt avhengige av ei straumforsyning utan avbrot, må sjølve syte for eigenberedskap gjennom naudstraumaggregat eller andre løysingar. Ved eventuell energimangel har styresmaktene særskilde tiltak for å redusere fare for rasjonering. I ytterste tilfelle kan styre</w:t>
      </w:r>
      <w:r>
        <w:t>s</w:t>
      </w:r>
      <w:r>
        <w:t>maktene innføre rasjonering. Slik kraftsystemet no er, er likevel rasjonering lite truleg.</w:t>
      </w:r>
    </w:p>
    <w:p w:rsidR="00880768" w:rsidRDefault="00880768" w:rsidP="00880768">
      <w:pPr>
        <w:pStyle w:val="Overskrift2"/>
      </w:pPr>
      <w:r>
        <w:t xml:space="preserve">Forsyningstryggleik for gass </w:t>
      </w:r>
    </w:p>
    <w:p w:rsidR="00880768" w:rsidRDefault="00880768" w:rsidP="00880768">
      <w:r>
        <w:t xml:space="preserve">Norsk petroleumsverksemd er viktig for ei påliteleg energiforsyning til Europa. Norsk gass dekkjer om lag 25 prosent av det totale europeiske gassforbruket. Departementet er ansvarleg for å utforme eit ressursforvaltningssystem (rammeverk) som skal syte for ei best mogeleg forvaltning av olje- og gassressursane på norsk sokkel. Rettshavarane er gitt ansvar for utvikling, produksjon og sal av norsk olje og gass. Rammeverket er utforma for å sikre at aktørane har best mogeleg evne til å oppfylle dette. </w:t>
      </w:r>
    </w:p>
    <w:p w:rsidR="00880768" w:rsidRDefault="00880768" w:rsidP="00880768">
      <w:r>
        <w:t>Det er oljeselskapa og Gassco AS som har det operative ansvaret for leveransetryggleik for gass. Oljeselskapa si evne til å yte leveransetryggleik knyter seg både til enkeltfelt på sokkelen, den samla feltporteføljen til selskapa og evna deira til å sikre seg nedstraums ved kommersielle a</w:t>
      </w:r>
      <w:r>
        <w:t>r</w:t>
      </w:r>
      <w:r>
        <w:t xml:space="preserve">rangement, gasslager med meir. </w:t>
      </w:r>
    </w:p>
    <w:p w:rsidR="00880768" w:rsidRDefault="00880768" w:rsidP="00880768">
      <w:r>
        <w:t>Gassco er som operatør for transport- og behandlingsanlegga for gass på vegner av eigarane i Gassled, underlagt petroleumslovgivinga. Forsyningstryggleik er ein integrert del av drifta deira, og risikostyring og beredskapsarbeid ein naturleg del av operatørrolla. Arbeidet er regulert av lov- og forskriftsverk, avtaler med interessentskapet Gassled og avtaler med skiparane i systemet, og Gassco si koordinerande rolle i leveransane for gass. Gassco er ansvarleg for kvaliteten på tran</w:t>
      </w:r>
      <w:r>
        <w:t>s</w:t>
      </w:r>
      <w:r>
        <w:t xml:space="preserve">portnettet og utfører inspeksjonar og vedlikehald. </w:t>
      </w:r>
    </w:p>
    <w:p w:rsidR="00880768" w:rsidRDefault="00880768" w:rsidP="00880768">
      <w:r>
        <w:t>Ved ei hending med konsekvensar for helse, miljø eller tryggleik (HMS) rapporterer operatøren til Petroleumstilsynet. Petroleumstilsynet rapporterer vidare til blant anna Oljedirektoratet.</w:t>
      </w:r>
    </w:p>
    <w:p w:rsidR="00880768" w:rsidRDefault="00880768" w:rsidP="00880768">
      <w:pPr>
        <w:pStyle w:val="Overskrift2"/>
      </w:pPr>
      <w:r>
        <w:lastRenderedPageBreak/>
        <w:t xml:space="preserve">Skred og vassdrag </w:t>
      </w:r>
    </w:p>
    <w:p w:rsidR="00880768" w:rsidRDefault="00880768" w:rsidP="00880768">
      <w:r>
        <w:t xml:space="preserve">Ansvaret for gjennomføringa av statlege oppgåver knytte til </w:t>
      </w:r>
      <w:proofErr w:type="gramStart"/>
      <w:r>
        <w:t>å</w:t>
      </w:r>
      <w:proofErr w:type="gramEnd"/>
      <w:r>
        <w:t xml:space="preserve"> førebyggje skade som følgje av brot på dammar, flaum og skred, er delegert til NVE. </w:t>
      </w:r>
    </w:p>
    <w:p w:rsidR="00880768" w:rsidRDefault="00880768" w:rsidP="00880768">
      <w:r>
        <w:t xml:space="preserve">NVE har ansvar for </w:t>
      </w:r>
      <w:proofErr w:type="gramStart"/>
      <w:r>
        <w:t>å</w:t>
      </w:r>
      <w:proofErr w:type="gramEnd"/>
      <w:r>
        <w:t xml:space="preserve"> sjå til at tiltakshavarar planlegg, byggjer og driv vassdragsanlegg slik at tryggleiken for menneske, miljø og eigedom blir teken vare på, og at det blir utarbeidd beredskap</w:t>
      </w:r>
      <w:r>
        <w:t>s</w:t>
      </w:r>
      <w:r>
        <w:t>planar for å handtere større hendingar. NVE kan gi pålegg til eigar av vassdragsanlegg om å gje</w:t>
      </w:r>
      <w:r>
        <w:t>n</w:t>
      </w:r>
      <w:r>
        <w:t xml:space="preserve">nomføre tiltak for å avgrense skadar. NVE kan også sjølv setje i verk tiltak når det er særskilt fare for alvorleg skade. </w:t>
      </w:r>
    </w:p>
    <w:p w:rsidR="00880768" w:rsidRDefault="00880768" w:rsidP="00880768">
      <w:r>
        <w:t xml:space="preserve">NVE gir hjelp og rettleier kommunane med </w:t>
      </w:r>
      <w:proofErr w:type="gramStart"/>
      <w:r>
        <w:t>å</w:t>
      </w:r>
      <w:proofErr w:type="gramEnd"/>
      <w:r>
        <w:t xml:space="preserve"> førebyggje skadar frå flaum, erosjon og skred. Op</w:t>
      </w:r>
      <w:r>
        <w:t>p</w:t>
      </w:r>
      <w:r>
        <w:t xml:space="preserve">gåvene inneber </w:t>
      </w:r>
      <w:proofErr w:type="gramStart"/>
      <w:r>
        <w:t>å</w:t>
      </w:r>
      <w:proofErr w:type="gramEnd"/>
      <w:r>
        <w:t xml:space="preserve"> kartleggje og informere om fareområde, gi faglege råd og retningsliner for ko</w:t>
      </w:r>
      <w:r>
        <w:t>m</w:t>
      </w:r>
      <w:r>
        <w:t>munal arealplanlegging, gi kommunar fagleg og økonomisk hjelp til planlegging og gjennomføring av sikringstiltak, og overvake og varsle flaum og skredfare. I tillegg gir NVE råd til kommunar og politi under beredskaps- og krisesituasjonar.</w:t>
      </w:r>
    </w:p>
    <w:p w:rsidR="00880768" w:rsidRDefault="00880768" w:rsidP="00880768">
      <w:pPr>
        <w:pStyle w:val="Overskrift2"/>
      </w:pPr>
      <w:r>
        <w:t>Sentral krisehandtering og departementets eigen beredskap</w:t>
      </w:r>
    </w:p>
    <w:p w:rsidR="00880768" w:rsidRDefault="00880768" w:rsidP="00880768">
      <w:r>
        <w:rPr>
          <w:spacing w:val="-2"/>
        </w:rPr>
        <w:t xml:space="preserve">I </w:t>
      </w:r>
      <w:r>
        <w:rPr>
          <w:rStyle w:val="kursiv"/>
          <w:spacing w:val="-2"/>
          <w:sz w:val="21"/>
          <w:szCs w:val="21"/>
        </w:rPr>
        <w:t>Instruks for departementenes arbeid med samfunnssikkerhet</w:t>
      </w:r>
      <w:r>
        <w:t xml:space="preserve"> («samfunnssikkerheitsinstruksen») er det stilt krav til departementa sitt arbeid med samfunnstryggleik og beredskap. </w:t>
      </w:r>
    </w:p>
    <w:p w:rsidR="00880768" w:rsidRDefault="00880768" w:rsidP="00880768">
      <w:r>
        <w:t xml:space="preserve">For å medverke til eit godt arbeid med samfunnstryggleik og beredskap, i både førebygging og handtering, skal departementet gjennom godt eigna beredskapsplanverk, robust organisering og hyppige og relevante øvingar, vere førebudd på </w:t>
      </w:r>
      <w:proofErr w:type="gramStart"/>
      <w:r>
        <w:t>å</w:t>
      </w:r>
      <w:proofErr w:type="gramEnd"/>
      <w:r>
        <w:t xml:space="preserve">: </w:t>
      </w:r>
    </w:p>
    <w:p w:rsidR="00880768" w:rsidRDefault="00880768" w:rsidP="00880768">
      <w:pPr>
        <w:pStyle w:val="Liste"/>
      </w:pPr>
      <w:r>
        <w:t>møte alle typar kriser i eigen sektor effektivt og profesjonelt</w:t>
      </w:r>
    </w:p>
    <w:p w:rsidR="00880768" w:rsidRDefault="00880768" w:rsidP="00880768">
      <w:pPr>
        <w:pStyle w:val="Liste"/>
      </w:pPr>
      <w:r>
        <w:t>yte bistand til andre departement når det trengst</w:t>
      </w:r>
    </w:p>
    <w:p w:rsidR="00880768" w:rsidRDefault="00880768" w:rsidP="00880768">
      <w:pPr>
        <w:pStyle w:val="Liste"/>
      </w:pPr>
      <w:r>
        <w:t>ta rolla som leiardepartement</w:t>
      </w:r>
    </w:p>
    <w:p w:rsidR="00880768" w:rsidRDefault="00880768" w:rsidP="00880768">
      <w:r>
        <w:t xml:space="preserve">OEDs planverk for krisehandtering skal dekkje ulike typar kriser som OED kan bli involvert i både i sektor og ved kriser som gjeld departementet sjølv. </w:t>
      </w:r>
    </w:p>
    <w:p w:rsidR="00880768" w:rsidRDefault="00880768" w:rsidP="00880768">
      <w:r>
        <w:t>OED gjennomfører og planlegg for relevante beredskapsøvingar. Departementet vil føre vidare dette arbeidet i 2019.</w:t>
      </w:r>
    </w:p>
    <w:p w:rsidR="00880768" w:rsidRDefault="00880768" w:rsidP="00880768">
      <w:pPr>
        <w:pStyle w:val="Overskrift1"/>
      </w:pPr>
      <w:r>
        <w:t>Utgreiing om likestilling og oppfølging av IA-avtala</w:t>
      </w:r>
    </w:p>
    <w:p w:rsidR="00880768" w:rsidRDefault="00880768" w:rsidP="00880768">
      <w:r>
        <w:t xml:space="preserve">Likestillingslova pålegg offentlege styresmakter skjerpa aktivitetsplikt for </w:t>
      </w:r>
      <w:proofErr w:type="gramStart"/>
      <w:r>
        <w:t>å</w:t>
      </w:r>
      <w:proofErr w:type="gramEnd"/>
      <w:r>
        <w:t xml:space="preserve"> fremje likestilling mellom kjønna på alle samfunnsområde. Olje- og energidepartementet har tidlegare gått gjennom alle budsjettområda i departementet, og utført ei vurdering av likestillinga innanfor </w:t>
      </w:r>
      <w:proofErr w:type="gramStart"/>
      <w:r>
        <w:t>departementet sine</w:t>
      </w:r>
      <w:proofErr w:type="gramEnd"/>
      <w:r>
        <w:t xml:space="preserve"> budsjettområde. Departementet har ikkje funne løyvingar som eignar seg for spesielle kjønns- og likestillingsanalysar.</w:t>
      </w:r>
    </w:p>
    <w:p w:rsidR="00880768" w:rsidRDefault="00880768" w:rsidP="00880768">
      <w:pPr>
        <w:pStyle w:val="avsnitt-tittel"/>
      </w:pPr>
      <w:r>
        <w:t>Olje- og energidepartementet</w:t>
      </w:r>
    </w:p>
    <w:p w:rsidR="00880768" w:rsidRDefault="00880768" w:rsidP="00880768">
      <w:r>
        <w:t>Likestillingsperspektivet er forankra i personalpolitikk, lønnspolitikk og tilpassingsavtale. Arbeidet for likestilling er ein integrert del av verksemda.</w:t>
      </w:r>
    </w:p>
    <w:p w:rsidR="00880768" w:rsidRDefault="00880768" w:rsidP="00880768">
      <w:pPr>
        <w:pStyle w:val="Liste"/>
      </w:pPr>
      <w:r>
        <w:t>Den enkelte leiaren i departementet skal medverke til at kvinner og menn får likeverdige arbeidsoppgåver og høve til fagleg og personleg utvikling i departementet.</w:t>
      </w:r>
    </w:p>
    <w:p w:rsidR="00880768" w:rsidRDefault="00880768" w:rsidP="00880768">
      <w:pPr>
        <w:pStyle w:val="Liste"/>
      </w:pPr>
      <w:r>
        <w:t xml:space="preserve">Kompetansegivande oppgåver og tiltak skal fordelast slik at det medverkar til likestilling mellom kvinner og menn. </w:t>
      </w:r>
    </w:p>
    <w:p w:rsidR="00880768" w:rsidRDefault="00880768" w:rsidP="00880768">
      <w:pPr>
        <w:pStyle w:val="Liste"/>
      </w:pPr>
      <w:r>
        <w:t xml:space="preserve">Departementet skal ha ein lønnspolitikk som medverkar til å fjerne eventuelle kjønnsrelaterte lønnsforskjellar på alle nivå. </w:t>
      </w:r>
    </w:p>
    <w:p w:rsidR="00880768" w:rsidRDefault="00880768" w:rsidP="00880768">
      <w:pPr>
        <w:pStyle w:val="Liste"/>
      </w:pPr>
      <w:r>
        <w:lastRenderedPageBreak/>
        <w:t xml:space="preserve">Omsynet til likestilling skal vere eitt av kriteria som blir lagt til grunn ved rekruttering til ledige stillingar. </w:t>
      </w:r>
    </w:p>
    <w:p w:rsidR="00880768" w:rsidRDefault="00880768" w:rsidP="00880768">
      <w:pPr>
        <w:pStyle w:val="Liste"/>
      </w:pPr>
      <w:r>
        <w:t>Årleg personalstatistikk skal gi oversikt over aktuelle likestillingsrelaterte spørsmål i d</w:t>
      </w:r>
      <w:r>
        <w:t>e</w:t>
      </w:r>
      <w:r>
        <w:t>partementet.</w:t>
      </w:r>
    </w:p>
    <w:p w:rsidR="00880768" w:rsidRDefault="00880768" w:rsidP="00880768">
      <w:pPr>
        <w:pStyle w:val="avsnitt-tittel"/>
      </w:pPr>
      <w:r>
        <w:t>Oljedirektoratet</w:t>
      </w:r>
    </w:p>
    <w:p w:rsidR="00880768" w:rsidRDefault="00880768" w:rsidP="00880768">
      <w:r>
        <w:t>Likestillingsperspektivet er forankra i personalpolitikk, lønnspolitikk og tilpassingsavtale. Arbeidet for likestilling er ein integrert del av verksemda.</w:t>
      </w:r>
    </w:p>
    <w:p w:rsidR="00880768" w:rsidRDefault="00880768" w:rsidP="00880768">
      <w:pPr>
        <w:pStyle w:val="Liste"/>
      </w:pPr>
      <w:r>
        <w:t xml:space="preserve">Rekruttering: Det skal rettast merksemd mot </w:t>
      </w:r>
      <w:proofErr w:type="gramStart"/>
      <w:r>
        <w:t>å</w:t>
      </w:r>
      <w:proofErr w:type="gramEnd"/>
      <w:r>
        <w:t xml:space="preserve"> halde ved lag ei jamn fordeling mellom kvinner og menn ved rekruttering til OD. Det skal rettast merksemd mot søkjarar med annan etnisk bakgrunn og kandidatar med nedsett funksjonsevne. </w:t>
      </w:r>
    </w:p>
    <w:p w:rsidR="00880768" w:rsidRDefault="00880768" w:rsidP="00880768">
      <w:pPr>
        <w:pStyle w:val="Liste"/>
      </w:pPr>
      <w:r>
        <w:t xml:space="preserve">Forfremjing: Etatsleiar skal oppmode kvinner til å melde </w:t>
      </w:r>
      <w:proofErr w:type="gramStart"/>
      <w:r>
        <w:t>si</w:t>
      </w:r>
      <w:proofErr w:type="gramEnd"/>
      <w:r>
        <w:t xml:space="preserve"> interesse for direktørfunksjonar.</w:t>
      </w:r>
    </w:p>
    <w:p w:rsidR="00880768" w:rsidRDefault="00880768" w:rsidP="00880768">
      <w:pPr>
        <w:pStyle w:val="Liste"/>
      </w:pPr>
      <w:r>
        <w:t>Utvikling: Leiinga skal ha fokus på den einskilde sin faglege utviklingsplan ved bemanning av lag. Leiinga skal i aktuelle tilfelle oppmode kandidatar til å melde interessa si for å gå inn i aktuelle lag i tråd med den faglege utviklingsplanen. Leiinga og fagkoordinatorar skal fokusere likestillingsaspektet ved bruk av opplæringsmidlar. Leiinga har temaet likestilling som årleg fokus.</w:t>
      </w:r>
    </w:p>
    <w:p w:rsidR="00880768" w:rsidRDefault="00880768" w:rsidP="00880768">
      <w:pPr>
        <w:pStyle w:val="Liste"/>
      </w:pPr>
      <w:r>
        <w:t>Lønn og arbeidstilhøve: Leiinga skal ha fokus på å finne årsaker til dokumenterte lønn</w:t>
      </w:r>
      <w:r>
        <w:t>s</w:t>
      </w:r>
      <w:r>
        <w:t xml:space="preserve">forskjellar mellom kvinne/mann med tanke på å justere lønnsnivået der det finst grunnlag for </w:t>
      </w:r>
      <w:proofErr w:type="gramStart"/>
      <w:r>
        <w:t>å</w:t>
      </w:r>
      <w:proofErr w:type="gramEnd"/>
      <w:r>
        <w:t xml:space="preserve"> gjere det. </w:t>
      </w:r>
    </w:p>
    <w:p w:rsidR="00880768" w:rsidRDefault="00880768" w:rsidP="00880768">
      <w:pPr>
        <w:pStyle w:val="Liste"/>
      </w:pPr>
      <w:r>
        <w:t>Trakassering og vern: Det blir gjennomført jamlege arbeidsmiljøundersøkingar og meda</w:t>
      </w:r>
      <w:r>
        <w:t>r</w:t>
      </w:r>
      <w:r>
        <w:t>beidarsamtalar der dette kan takast opp.</w:t>
      </w:r>
    </w:p>
    <w:p w:rsidR="00880768" w:rsidRDefault="00880768" w:rsidP="00880768">
      <w:pPr>
        <w:pStyle w:val="avsnitt-tittel"/>
      </w:pPr>
      <w:r>
        <w:t>Noregs vassdrags- og energidirektorat</w:t>
      </w:r>
    </w:p>
    <w:p w:rsidR="00880768" w:rsidRDefault="00880768" w:rsidP="00880768">
      <w:r>
        <w:t>Noregs vassdrags- og energidirektorats (NVE) arbeid med likestilling og mangfald er forankra i NVEs interne regelverk. NVE har eit mål om å ha eit arbeidsmiljø som sikrar at NVE held på dei beste tilsette uavhengig av kjønn, etnisk bakgrunn, religion, funksjonsevne, seksuell orientering eller alder.</w:t>
      </w:r>
    </w:p>
    <w:p w:rsidR="00880768" w:rsidRDefault="00880768" w:rsidP="00880768">
      <w:r>
        <w:t xml:space="preserve">NVE har tiltak for å sikre likestilling og hindre diskriminering, mellom anna innanfor rekruttering og lønns- og arbeidsforhold. Leiarar får rettleiing av HR-eininga i arbeidet for likestilling og mot diskriminering. </w:t>
      </w:r>
    </w:p>
    <w:p w:rsidR="00880768" w:rsidRDefault="00880768" w:rsidP="00880768">
      <w:pPr>
        <w:pStyle w:val="Overskrift2"/>
      </w:pPr>
      <w:r>
        <w:t>Status i departementet og underliggjande etatar</w:t>
      </w:r>
    </w:p>
    <w:p w:rsidR="00880768" w:rsidRDefault="00880768" w:rsidP="00880768">
      <w:r>
        <w:t>Det er i tabellane nedanfor presentert ein kjønnsdelt statistikk på sentrale personalområde.</w:t>
      </w:r>
    </w:p>
    <w:p w:rsidR="002F7289" w:rsidRDefault="002F7289" w:rsidP="0063539A">
      <w:pPr>
        <w:pStyle w:val="tabell-tittel"/>
      </w:pPr>
      <w:r>
        <w:rPr>
          <w:sz w:val="21"/>
          <w:szCs w:val="21"/>
        </w:rPr>
        <w:t>Tilstandsrapportering (kjønn) i Olje- og energidepartementet per 31. desember 2017 samanlikna med tal per 31. desember 2016</w:t>
      </w:r>
    </w:p>
    <w:p w:rsidR="00880768" w:rsidRDefault="00880768" w:rsidP="00880768">
      <w:pPr>
        <w:pStyle w:val="Tabellnavn"/>
      </w:pPr>
      <w:r>
        <w:t>07J3xt2</w:t>
      </w:r>
    </w:p>
    <w:tbl>
      <w:tblPr>
        <w:tblStyle w:val="StandardTabell"/>
        <w:tblW w:w="0" w:type="auto"/>
        <w:tblLayout w:type="fixed"/>
        <w:tblLook w:val="04A0" w:firstRow="1" w:lastRow="0" w:firstColumn="1" w:lastColumn="0" w:noHBand="0" w:noVBand="1"/>
      </w:tblPr>
      <w:tblGrid>
        <w:gridCol w:w="3340"/>
        <w:gridCol w:w="900"/>
        <w:gridCol w:w="1040"/>
        <w:gridCol w:w="1000"/>
        <w:gridCol w:w="1000"/>
        <w:gridCol w:w="1120"/>
        <w:gridCol w:w="1120"/>
      </w:tblGrid>
      <w:tr w:rsidR="00880768" w:rsidTr="00880768">
        <w:trPr>
          <w:trHeight w:val="360"/>
        </w:trPr>
        <w:tc>
          <w:tcPr>
            <w:tcW w:w="3340" w:type="dxa"/>
          </w:tcPr>
          <w:p w:rsidR="00880768" w:rsidRDefault="00880768" w:rsidP="00880768"/>
        </w:tc>
        <w:tc>
          <w:tcPr>
            <w:tcW w:w="900" w:type="dxa"/>
          </w:tcPr>
          <w:p w:rsidR="00880768" w:rsidRDefault="00880768" w:rsidP="00880768"/>
        </w:tc>
        <w:tc>
          <w:tcPr>
            <w:tcW w:w="3040" w:type="dxa"/>
            <w:gridSpan w:val="3"/>
          </w:tcPr>
          <w:p w:rsidR="00880768" w:rsidRDefault="00880768" w:rsidP="00880768">
            <w:r>
              <w:t>Kjønnsbalanse</w:t>
            </w:r>
          </w:p>
        </w:tc>
        <w:tc>
          <w:tcPr>
            <w:tcW w:w="2240" w:type="dxa"/>
            <w:gridSpan w:val="2"/>
          </w:tcPr>
          <w:p w:rsidR="00880768" w:rsidRDefault="00880768" w:rsidP="00880768">
            <w:r>
              <w:t>Månadslønn</w:t>
            </w:r>
          </w:p>
        </w:tc>
      </w:tr>
      <w:tr w:rsidR="00880768" w:rsidTr="00880768">
        <w:trPr>
          <w:trHeight w:val="360"/>
        </w:trPr>
        <w:tc>
          <w:tcPr>
            <w:tcW w:w="3340" w:type="dxa"/>
          </w:tcPr>
          <w:p w:rsidR="00880768" w:rsidRDefault="00880768" w:rsidP="00880768"/>
        </w:tc>
        <w:tc>
          <w:tcPr>
            <w:tcW w:w="900" w:type="dxa"/>
          </w:tcPr>
          <w:p w:rsidR="00880768" w:rsidRDefault="00880768" w:rsidP="00880768"/>
        </w:tc>
        <w:tc>
          <w:tcPr>
            <w:tcW w:w="1040" w:type="dxa"/>
          </w:tcPr>
          <w:p w:rsidR="00880768" w:rsidRDefault="00880768" w:rsidP="00880768">
            <w:r>
              <w:t>Menn</w:t>
            </w:r>
          </w:p>
        </w:tc>
        <w:tc>
          <w:tcPr>
            <w:tcW w:w="1000" w:type="dxa"/>
          </w:tcPr>
          <w:p w:rsidR="00880768" w:rsidRDefault="00880768" w:rsidP="00880768">
            <w:r>
              <w:t>Kvi</w:t>
            </w:r>
            <w:r>
              <w:t>n</w:t>
            </w:r>
            <w:r>
              <w:t>ner</w:t>
            </w:r>
          </w:p>
        </w:tc>
        <w:tc>
          <w:tcPr>
            <w:tcW w:w="1000" w:type="dxa"/>
          </w:tcPr>
          <w:p w:rsidR="00880768" w:rsidRDefault="00880768" w:rsidP="00880768">
            <w:r>
              <w:t>Total</w:t>
            </w:r>
          </w:p>
        </w:tc>
        <w:tc>
          <w:tcPr>
            <w:tcW w:w="1120" w:type="dxa"/>
          </w:tcPr>
          <w:p w:rsidR="00880768" w:rsidRDefault="00880768" w:rsidP="00880768">
            <w:r>
              <w:t>Menn</w:t>
            </w:r>
          </w:p>
        </w:tc>
        <w:tc>
          <w:tcPr>
            <w:tcW w:w="1120" w:type="dxa"/>
          </w:tcPr>
          <w:p w:rsidR="00880768" w:rsidRDefault="00880768" w:rsidP="00880768">
            <w:r>
              <w:t>Kvinner</w:t>
            </w:r>
          </w:p>
        </w:tc>
      </w:tr>
      <w:tr w:rsidR="00880768" w:rsidTr="00880768">
        <w:trPr>
          <w:trHeight w:val="360"/>
        </w:trPr>
        <w:tc>
          <w:tcPr>
            <w:tcW w:w="3340" w:type="dxa"/>
          </w:tcPr>
          <w:p w:rsidR="00880768" w:rsidRDefault="00880768" w:rsidP="00880768"/>
        </w:tc>
        <w:tc>
          <w:tcPr>
            <w:tcW w:w="900" w:type="dxa"/>
          </w:tcPr>
          <w:p w:rsidR="00880768" w:rsidRDefault="00880768" w:rsidP="00880768"/>
        </w:tc>
        <w:tc>
          <w:tcPr>
            <w:tcW w:w="1040" w:type="dxa"/>
          </w:tcPr>
          <w:p w:rsidR="00880768" w:rsidRDefault="00880768" w:rsidP="00880768">
            <w:r>
              <w:t>Prosent</w:t>
            </w:r>
          </w:p>
        </w:tc>
        <w:tc>
          <w:tcPr>
            <w:tcW w:w="1000" w:type="dxa"/>
          </w:tcPr>
          <w:p w:rsidR="00880768" w:rsidRDefault="00880768" w:rsidP="00880768">
            <w:r>
              <w:t>Prosent</w:t>
            </w:r>
          </w:p>
        </w:tc>
        <w:tc>
          <w:tcPr>
            <w:tcW w:w="1000" w:type="dxa"/>
          </w:tcPr>
          <w:p w:rsidR="00880768" w:rsidRDefault="00880768" w:rsidP="00880768">
            <w:r>
              <w:t>(N)</w:t>
            </w:r>
          </w:p>
        </w:tc>
        <w:tc>
          <w:tcPr>
            <w:tcW w:w="1120" w:type="dxa"/>
          </w:tcPr>
          <w:p w:rsidR="00880768" w:rsidRDefault="00880768" w:rsidP="00880768">
            <w:r>
              <w:t>Kroner</w:t>
            </w:r>
          </w:p>
        </w:tc>
        <w:tc>
          <w:tcPr>
            <w:tcW w:w="1120" w:type="dxa"/>
          </w:tcPr>
          <w:p w:rsidR="00880768" w:rsidRDefault="00880768" w:rsidP="00880768">
            <w:r>
              <w:t>Kroner</w:t>
            </w:r>
          </w:p>
        </w:tc>
      </w:tr>
      <w:tr w:rsidR="00880768" w:rsidTr="00880768">
        <w:trPr>
          <w:trHeight w:val="380"/>
        </w:trPr>
        <w:tc>
          <w:tcPr>
            <w:tcW w:w="3340" w:type="dxa"/>
          </w:tcPr>
          <w:p w:rsidR="00880768" w:rsidRDefault="00880768" w:rsidP="00880768">
            <w:r>
              <w:t>Totalt i OED</w:t>
            </w:r>
          </w:p>
        </w:tc>
        <w:tc>
          <w:tcPr>
            <w:tcW w:w="900" w:type="dxa"/>
          </w:tcPr>
          <w:p w:rsidR="00880768" w:rsidRDefault="00880768" w:rsidP="00880768">
            <w:r>
              <w:t>2017</w:t>
            </w:r>
          </w:p>
        </w:tc>
        <w:tc>
          <w:tcPr>
            <w:tcW w:w="1040" w:type="dxa"/>
          </w:tcPr>
          <w:p w:rsidR="00880768" w:rsidRDefault="00880768" w:rsidP="00880768">
            <w:r>
              <w:t>49</w:t>
            </w:r>
          </w:p>
        </w:tc>
        <w:tc>
          <w:tcPr>
            <w:tcW w:w="1000" w:type="dxa"/>
          </w:tcPr>
          <w:p w:rsidR="00880768" w:rsidRDefault="00880768" w:rsidP="00880768">
            <w:r>
              <w:t>51</w:t>
            </w:r>
          </w:p>
        </w:tc>
        <w:tc>
          <w:tcPr>
            <w:tcW w:w="1000" w:type="dxa"/>
          </w:tcPr>
          <w:p w:rsidR="00880768" w:rsidRDefault="00880768" w:rsidP="00880768">
            <w:r>
              <w:t>152</w:t>
            </w:r>
          </w:p>
        </w:tc>
        <w:tc>
          <w:tcPr>
            <w:tcW w:w="1120" w:type="dxa"/>
          </w:tcPr>
          <w:p w:rsidR="00880768" w:rsidRDefault="00880768" w:rsidP="00880768">
            <w:r>
              <w:t>57 713</w:t>
            </w:r>
          </w:p>
        </w:tc>
        <w:tc>
          <w:tcPr>
            <w:tcW w:w="1120" w:type="dxa"/>
          </w:tcPr>
          <w:p w:rsidR="00880768" w:rsidRDefault="00880768" w:rsidP="00880768">
            <w:r>
              <w:t>48 954</w:t>
            </w:r>
          </w:p>
        </w:tc>
      </w:tr>
      <w:tr w:rsidR="00880768" w:rsidTr="00880768">
        <w:trPr>
          <w:trHeight w:val="380"/>
        </w:trPr>
        <w:tc>
          <w:tcPr>
            <w:tcW w:w="3340" w:type="dxa"/>
          </w:tcPr>
          <w:p w:rsidR="00880768" w:rsidRDefault="00880768" w:rsidP="00880768"/>
        </w:tc>
        <w:tc>
          <w:tcPr>
            <w:tcW w:w="900" w:type="dxa"/>
          </w:tcPr>
          <w:p w:rsidR="00880768" w:rsidRDefault="00880768" w:rsidP="00880768">
            <w:r>
              <w:t>2016</w:t>
            </w:r>
          </w:p>
        </w:tc>
        <w:tc>
          <w:tcPr>
            <w:tcW w:w="1040" w:type="dxa"/>
          </w:tcPr>
          <w:p w:rsidR="00880768" w:rsidRDefault="00880768" w:rsidP="00880768">
            <w:r>
              <w:t>50</w:t>
            </w:r>
          </w:p>
        </w:tc>
        <w:tc>
          <w:tcPr>
            <w:tcW w:w="1000" w:type="dxa"/>
          </w:tcPr>
          <w:p w:rsidR="00880768" w:rsidRDefault="00880768" w:rsidP="00880768">
            <w:r>
              <w:t>50</w:t>
            </w:r>
          </w:p>
        </w:tc>
        <w:tc>
          <w:tcPr>
            <w:tcW w:w="1000" w:type="dxa"/>
          </w:tcPr>
          <w:p w:rsidR="00880768" w:rsidRDefault="00880768" w:rsidP="00880768">
            <w:r>
              <w:t>150</w:t>
            </w:r>
          </w:p>
        </w:tc>
        <w:tc>
          <w:tcPr>
            <w:tcW w:w="1120" w:type="dxa"/>
          </w:tcPr>
          <w:p w:rsidR="00880768" w:rsidRDefault="00880768" w:rsidP="00880768">
            <w:r>
              <w:t>58 357</w:t>
            </w:r>
          </w:p>
        </w:tc>
        <w:tc>
          <w:tcPr>
            <w:tcW w:w="1120" w:type="dxa"/>
          </w:tcPr>
          <w:p w:rsidR="00880768" w:rsidRDefault="00880768" w:rsidP="00880768">
            <w:r>
              <w:t>47 899</w:t>
            </w:r>
          </w:p>
        </w:tc>
      </w:tr>
      <w:tr w:rsidR="00880768" w:rsidTr="00880768">
        <w:trPr>
          <w:trHeight w:val="380"/>
        </w:trPr>
        <w:tc>
          <w:tcPr>
            <w:tcW w:w="3340" w:type="dxa"/>
          </w:tcPr>
          <w:p w:rsidR="00880768" w:rsidRDefault="00880768" w:rsidP="00880768">
            <w:r>
              <w:lastRenderedPageBreak/>
              <w:t>Leiing</w:t>
            </w:r>
          </w:p>
        </w:tc>
        <w:tc>
          <w:tcPr>
            <w:tcW w:w="900" w:type="dxa"/>
          </w:tcPr>
          <w:p w:rsidR="00880768" w:rsidRDefault="00880768" w:rsidP="00880768">
            <w:r>
              <w:t>2017</w:t>
            </w:r>
          </w:p>
        </w:tc>
        <w:tc>
          <w:tcPr>
            <w:tcW w:w="1040" w:type="dxa"/>
          </w:tcPr>
          <w:p w:rsidR="00880768" w:rsidRDefault="00880768" w:rsidP="00880768">
            <w:r>
              <w:t>100</w:t>
            </w:r>
          </w:p>
        </w:tc>
        <w:tc>
          <w:tcPr>
            <w:tcW w:w="1000" w:type="dxa"/>
          </w:tcPr>
          <w:p w:rsidR="00880768" w:rsidRDefault="00880768" w:rsidP="00880768">
            <w:r>
              <w:t>0</w:t>
            </w:r>
          </w:p>
        </w:tc>
        <w:tc>
          <w:tcPr>
            <w:tcW w:w="1000" w:type="dxa"/>
          </w:tcPr>
          <w:p w:rsidR="00880768" w:rsidRDefault="00880768" w:rsidP="00880768">
            <w:r>
              <w:t>3</w:t>
            </w:r>
          </w:p>
        </w:tc>
        <w:tc>
          <w:tcPr>
            <w:tcW w:w="1120" w:type="dxa"/>
          </w:tcPr>
          <w:p w:rsidR="00880768" w:rsidRDefault="00880768" w:rsidP="00880768">
            <w:r>
              <w:t>95 397</w:t>
            </w:r>
          </w:p>
        </w:tc>
        <w:tc>
          <w:tcPr>
            <w:tcW w:w="1120" w:type="dxa"/>
          </w:tcPr>
          <w:p w:rsidR="00880768" w:rsidRDefault="00880768" w:rsidP="00880768">
            <w:r>
              <w:t>-</w:t>
            </w:r>
          </w:p>
        </w:tc>
      </w:tr>
      <w:tr w:rsidR="00880768" w:rsidTr="00880768">
        <w:trPr>
          <w:trHeight w:val="380"/>
        </w:trPr>
        <w:tc>
          <w:tcPr>
            <w:tcW w:w="3340" w:type="dxa"/>
          </w:tcPr>
          <w:p w:rsidR="00880768" w:rsidRDefault="00880768" w:rsidP="00880768"/>
        </w:tc>
        <w:tc>
          <w:tcPr>
            <w:tcW w:w="900" w:type="dxa"/>
          </w:tcPr>
          <w:p w:rsidR="00880768" w:rsidRDefault="00880768" w:rsidP="00880768">
            <w:r>
              <w:t>2016</w:t>
            </w:r>
          </w:p>
        </w:tc>
        <w:tc>
          <w:tcPr>
            <w:tcW w:w="1040" w:type="dxa"/>
          </w:tcPr>
          <w:p w:rsidR="00880768" w:rsidRDefault="00880768" w:rsidP="00880768">
            <w:r>
              <w:t>100</w:t>
            </w:r>
          </w:p>
        </w:tc>
        <w:tc>
          <w:tcPr>
            <w:tcW w:w="1000" w:type="dxa"/>
          </w:tcPr>
          <w:p w:rsidR="00880768" w:rsidRDefault="00880768" w:rsidP="00880768">
            <w:r>
              <w:t>0</w:t>
            </w:r>
          </w:p>
        </w:tc>
        <w:tc>
          <w:tcPr>
            <w:tcW w:w="1000" w:type="dxa"/>
          </w:tcPr>
          <w:p w:rsidR="00880768" w:rsidRDefault="00880768" w:rsidP="00880768">
            <w:r>
              <w:t>3</w:t>
            </w:r>
          </w:p>
        </w:tc>
        <w:tc>
          <w:tcPr>
            <w:tcW w:w="1120" w:type="dxa"/>
          </w:tcPr>
          <w:p w:rsidR="00880768" w:rsidRDefault="00880768" w:rsidP="00880768">
            <w:r>
              <w:t>94 809</w:t>
            </w:r>
          </w:p>
        </w:tc>
        <w:tc>
          <w:tcPr>
            <w:tcW w:w="1120" w:type="dxa"/>
          </w:tcPr>
          <w:p w:rsidR="00880768" w:rsidRDefault="00880768" w:rsidP="00880768">
            <w:r>
              <w:t>-</w:t>
            </w:r>
          </w:p>
        </w:tc>
      </w:tr>
      <w:tr w:rsidR="00880768" w:rsidTr="00880768">
        <w:trPr>
          <w:trHeight w:val="380"/>
        </w:trPr>
        <w:tc>
          <w:tcPr>
            <w:tcW w:w="3340" w:type="dxa"/>
          </w:tcPr>
          <w:p w:rsidR="00880768" w:rsidRDefault="00880768" w:rsidP="00880768">
            <w:r>
              <w:t>Avdelingsdirektør</w:t>
            </w:r>
          </w:p>
        </w:tc>
        <w:tc>
          <w:tcPr>
            <w:tcW w:w="900" w:type="dxa"/>
          </w:tcPr>
          <w:p w:rsidR="00880768" w:rsidRDefault="00880768" w:rsidP="00880768">
            <w:r>
              <w:t>2017</w:t>
            </w:r>
          </w:p>
        </w:tc>
        <w:tc>
          <w:tcPr>
            <w:tcW w:w="1040" w:type="dxa"/>
          </w:tcPr>
          <w:p w:rsidR="00880768" w:rsidRDefault="00880768" w:rsidP="00880768">
            <w:r>
              <w:t>75</w:t>
            </w:r>
          </w:p>
        </w:tc>
        <w:tc>
          <w:tcPr>
            <w:tcW w:w="1000" w:type="dxa"/>
          </w:tcPr>
          <w:p w:rsidR="00880768" w:rsidRDefault="00880768" w:rsidP="00880768">
            <w:r>
              <w:t>25</w:t>
            </w:r>
          </w:p>
        </w:tc>
        <w:tc>
          <w:tcPr>
            <w:tcW w:w="1000" w:type="dxa"/>
          </w:tcPr>
          <w:p w:rsidR="00880768" w:rsidRDefault="00880768" w:rsidP="00880768">
            <w:r>
              <w:t>20</w:t>
            </w:r>
          </w:p>
        </w:tc>
        <w:tc>
          <w:tcPr>
            <w:tcW w:w="1120" w:type="dxa"/>
          </w:tcPr>
          <w:p w:rsidR="00880768" w:rsidRDefault="00880768" w:rsidP="00880768">
            <w:r>
              <w:t>78 807</w:t>
            </w:r>
          </w:p>
        </w:tc>
        <w:tc>
          <w:tcPr>
            <w:tcW w:w="1120" w:type="dxa"/>
          </w:tcPr>
          <w:p w:rsidR="00880768" w:rsidRDefault="00880768" w:rsidP="00880768">
            <w:r>
              <w:t>77 771</w:t>
            </w:r>
          </w:p>
        </w:tc>
      </w:tr>
      <w:tr w:rsidR="00880768" w:rsidTr="00880768">
        <w:trPr>
          <w:trHeight w:val="380"/>
        </w:trPr>
        <w:tc>
          <w:tcPr>
            <w:tcW w:w="3340" w:type="dxa"/>
          </w:tcPr>
          <w:p w:rsidR="00880768" w:rsidRDefault="00880768" w:rsidP="00880768"/>
        </w:tc>
        <w:tc>
          <w:tcPr>
            <w:tcW w:w="900" w:type="dxa"/>
          </w:tcPr>
          <w:p w:rsidR="00880768" w:rsidRDefault="00880768" w:rsidP="00880768">
            <w:r>
              <w:t>2016</w:t>
            </w:r>
          </w:p>
        </w:tc>
        <w:tc>
          <w:tcPr>
            <w:tcW w:w="1040" w:type="dxa"/>
          </w:tcPr>
          <w:p w:rsidR="00880768" w:rsidRDefault="00880768" w:rsidP="00880768">
            <w:r>
              <w:t>86</w:t>
            </w:r>
          </w:p>
        </w:tc>
        <w:tc>
          <w:tcPr>
            <w:tcW w:w="1000" w:type="dxa"/>
          </w:tcPr>
          <w:p w:rsidR="00880768" w:rsidRDefault="00880768" w:rsidP="00880768">
            <w:r>
              <w:t>14</w:t>
            </w:r>
          </w:p>
        </w:tc>
        <w:tc>
          <w:tcPr>
            <w:tcW w:w="1000" w:type="dxa"/>
          </w:tcPr>
          <w:p w:rsidR="00880768" w:rsidRDefault="00880768" w:rsidP="00880768">
            <w:r>
              <w:t>22</w:t>
            </w:r>
          </w:p>
        </w:tc>
        <w:tc>
          <w:tcPr>
            <w:tcW w:w="1120" w:type="dxa"/>
          </w:tcPr>
          <w:p w:rsidR="00880768" w:rsidRDefault="00880768" w:rsidP="00880768">
            <w:r>
              <w:t>78 199</w:t>
            </w:r>
          </w:p>
        </w:tc>
        <w:tc>
          <w:tcPr>
            <w:tcW w:w="1120" w:type="dxa"/>
          </w:tcPr>
          <w:p w:rsidR="00880768" w:rsidRDefault="00880768" w:rsidP="00880768">
            <w:r>
              <w:t>80 993</w:t>
            </w:r>
          </w:p>
        </w:tc>
      </w:tr>
      <w:tr w:rsidR="00880768" w:rsidTr="00880768">
        <w:trPr>
          <w:trHeight w:val="380"/>
        </w:trPr>
        <w:tc>
          <w:tcPr>
            <w:tcW w:w="3340" w:type="dxa"/>
          </w:tcPr>
          <w:p w:rsidR="00880768" w:rsidRDefault="00880768" w:rsidP="00880768">
            <w:r>
              <w:t>Fagdirektør</w:t>
            </w:r>
          </w:p>
        </w:tc>
        <w:tc>
          <w:tcPr>
            <w:tcW w:w="900" w:type="dxa"/>
          </w:tcPr>
          <w:p w:rsidR="00880768" w:rsidRDefault="00880768" w:rsidP="00880768">
            <w:r>
              <w:t>2017</w:t>
            </w:r>
          </w:p>
        </w:tc>
        <w:tc>
          <w:tcPr>
            <w:tcW w:w="1040" w:type="dxa"/>
          </w:tcPr>
          <w:p w:rsidR="00880768" w:rsidRDefault="00880768" w:rsidP="00880768">
            <w:r>
              <w:t>100</w:t>
            </w:r>
          </w:p>
        </w:tc>
        <w:tc>
          <w:tcPr>
            <w:tcW w:w="1000" w:type="dxa"/>
          </w:tcPr>
          <w:p w:rsidR="00880768" w:rsidRDefault="00880768" w:rsidP="00880768">
            <w:r>
              <w:t>0</w:t>
            </w:r>
          </w:p>
        </w:tc>
        <w:tc>
          <w:tcPr>
            <w:tcW w:w="1000" w:type="dxa"/>
          </w:tcPr>
          <w:p w:rsidR="00880768" w:rsidRDefault="00880768" w:rsidP="00880768">
            <w:r>
              <w:t>3</w:t>
            </w:r>
          </w:p>
        </w:tc>
        <w:tc>
          <w:tcPr>
            <w:tcW w:w="1120" w:type="dxa"/>
          </w:tcPr>
          <w:p w:rsidR="00880768" w:rsidRDefault="00880768" w:rsidP="00880768">
            <w:r>
              <w:t>65 600</w:t>
            </w:r>
          </w:p>
        </w:tc>
        <w:tc>
          <w:tcPr>
            <w:tcW w:w="1120" w:type="dxa"/>
          </w:tcPr>
          <w:p w:rsidR="00880768" w:rsidRDefault="00880768" w:rsidP="00880768">
            <w:r>
              <w:t>-</w:t>
            </w:r>
          </w:p>
        </w:tc>
      </w:tr>
      <w:tr w:rsidR="00880768" w:rsidTr="00880768">
        <w:trPr>
          <w:trHeight w:val="380"/>
        </w:trPr>
        <w:tc>
          <w:tcPr>
            <w:tcW w:w="3340" w:type="dxa"/>
          </w:tcPr>
          <w:p w:rsidR="00880768" w:rsidRDefault="00880768" w:rsidP="00880768"/>
        </w:tc>
        <w:tc>
          <w:tcPr>
            <w:tcW w:w="900" w:type="dxa"/>
          </w:tcPr>
          <w:p w:rsidR="00880768" w:rsidRDefault="00880768" w:rsidP="00880768">
            <w:r>
              <w:t>2016</w:t>
            </w:r>
          </w:p>
        </w:tc>
        <w:tc>
          <w:tcPr>
            <w:tcW w:w="1040" w:type="dxa"/>
          </w:tcPr>
          <w:p w:rsidR="00880768" w:rsidRDefault="00880768" w:rsidP="00880768">
            <w:r>
              <w:t>100</w:t>
            </w:r>
          </w:p>
        </w:tc>
        <w:tc>
          <w:tcPr>
            <w:tcW w:w="1000" w:type="dxa"/>
          </w:tcPr>
          <w:p w:rsidR="00880768" w:rsidRDefault="00880768" w:rsidP="00880768">
            <w:r>
              <w:t>0</w:t>
            </w:r>
          </w:p>
        </w:tc>
        <w:tc>
          <w:tcPr>
            <w:tcW w:w="1000" w:type="dxa"/>
          </w:tcPr>
          <w:p w:rsidR="00880768" w:rsidRDefault="00880768" w:rsidP="00880768">
            <w:r>
              <w:t>3</w:t>
            </w:r>
          </w:p>
        </w:tc>
        <w:tc>
          <w:tcPr>
            <w:tcW w:w="1120" w:type="dxa"/>
          </w:tcPr>
          <w:p w:rsidR="00880768" w:rsidRDefault="00880768" w:rsidP="00880768">
            <w:r>
              <w:t>65 092</w:t>
            </w:r>
          </w:p>
        </w:tc>
        <w:tc>
          <w:tcPr>
            <w:tcW w:w="1120" w:type="dxa"/>
          </w:tcPr>
          <w:p w:rsidR="00880768" w:rsidRDefault="00880768" w:rsidP="00880768">
            <w:r>
              <w:t>-</w:t>
            </w:r>
          </w:p>
        </w:tc>
      </w:tr>
      <w:tr w:rsidR="00880768" w:rsidTr="00880768">
        <w:trPr>
          <w:trHeight w:val="380"/>
        </w:trPr>
        <w:tc>
          <w:tcPr>
            <w:tcW w:w="3340" w:type="dxa"/>
          </w:tcPr>
          <w:p w:rsidR="00880768" w:rsidRDefault="00880768" w:rsidP="00880768">
            <w:r>
              <w:t>Underdirektør</w:t>
            </w:r>
          </w:p>
        </w:tc>
        <w:tc>
          <w:tcPr>
            <w:tcW w:w="900" w:type="dxa"/>
          </w:tcPr>
          <w:p w:rsidR="00880768" w:rsidRDefault="00880768" w:rsidP="00880768">
            <w:r>
              <w:t>2017</w:t>
            </w:r>
          </w:p>
        </w:tc>
        <w:tc>
          <w:tcPr>
            <w:tcW w:w="1040" w:type="dxa"/>
          </w:tcPr>
          <w:p w:rsidR="00880768" w:rsidRDefault="00880768" w:rsidP="00880768">
            <w:r>
              <w:t>48</w:t>
            </w:r>
          </w:p>
        </w:tc>
        <w:tc>
          <w:tcPr>
            <w:tcW w:w="1000" w:type="dxa"/>
          </w:tcPr>
          <w:p w:rsidR="00880768" w:rsidRDefault="00880768" w:rsidP="00880768">
            <w:r>
              <w:t>52</w:t>
            </w:r>
          </w:p>
        </w:tc>
        <w:tc>
          <w:tcPr>
            <w:tcW w:w="1000" w:type="dxa"/>
          </w:tcPr>
          <w:p w:rsidR="00880768" w:rsidRDefault="00880768" w:rsidP="00880768">
            <w:r>
              <w:t>27</w:t>
            </w:r>
          </w:p>
        </w:tc>
        <w:tc>
          <w:tcPr>
            <w:tcW w:w="1120" w:type="dxa"/>
          </w:tcPr>
          <w:p w:rsidR="00880768" w:rsidRDefault="00880768" w:rsidP="00880768">
            <w:r>
              <w:t>54 221</w:t>
            </w:r>
          </w:p>
        </w:tc>
        <w:tc>
          <w:tcPr>
            <w:tcW w:w="1120" w:type="dxa"/>
          </w:tcPr>
          <w:p w:rsidR="00880768" w:rsidRDefault="00880768" w:rsidP="00880768">
            <w:r>
              <w:t>60 726</w:t>
            </w:r>
          </w:p>
        </w:tc>
      </w:tr>
      <w:tr w:rsidR="00880768" w:rsidTr="00880768">
        <w:trPr>
          <w:trHeight w:val="380"/>
        </w:trPr>
        <w:tc>
          <w:tcPr>
            <w:tcW w:w="3340" w:type="dxa"/>
          </w:tcPr>
          <w:p w:rsidR="00880768" w:rsidRDefault="00880768" w:rsidP="00880768"/>
        </w:tc>
        <w:tc>
          <w:tcPr>
            <w:tcW w:w="900" w:type="dxa"/>
          </w:tcPr>
          <w:p w:rsidR="00880768" w:rsidRDefault="00880768" w:rsidP="00880768">
            <w:r>
              <w:t>2016</w:t>
            </w:r>
          </w:p>
        </w:tc>
        <w:tc>
          <w:tcPr>
            <w:tcW w:w="1040" w:type="dxa"/>
          </w:tcPr>
          <w:p w:rsidR="00880768" w:rsidRDefault="00880768" w:rsidP="00880768">
            <w:r>
              <w:t>46</w:t>
            </w:r>
          </w:p>
        </w:tc>
        <w:tc>
          <w:tcPr>
            <w:tcW w:w="1000" w:type="dxa"/>
          </w:tcPr>
          <w:p w:rsidR="00880768" w:rsidRDefault="00880768" w:rsidP="00880768">
            <w:r>
              <w:t>54</w:t>
            </w:r>
          </w:p>
        </w:tc>
        <w:tc>
          <w:tcPr>
            <w:tcW w:w="1000" w:type="dxa"/>
          </w:tcPr>
          <w:p w:rsidR="00880768" w:rsidRDefault="00880768" w:rsidP="00880768">
            <w:r>
              <w:t>26</w:t>
            </w:r>
          </w:p>
        </w:tc>
        <w:tc>
          <w:tcPr>
            <w:tcW w:w="1120" w:type="dxa"/>
          </w:tcPr>
          <w:p w:rsidR="00880768" w:rsidRDefault="00880768" w:rsidP="00880768">
            <w:r>
              <w:t>53 022</w:t>
            </w:r>
          </w:p>
        </w:tc>
        <w:tc>
          <w:tcPr>
            <w:tcW w:w="1120" w:type="dxa"/>
          </w:tcPr>
          <w:p w:rsidR="00880768" w:rsidRDefault="00880768" w:rsidP="00880768">
            <w:r>
              <w:t>60 196</w:t>
            </w:r>
          </w:p>
        </w:tc>
      </w:tr>
      <w:tr w:rsidR="00880768" w:rsidTr="00880768">
        <w:trPr>
          <w:trHeight w:val="380"/>
        </w:trPr>
        <w:tc>
          <w:tcPr>
            <w:tcW w:w="3340" w:type="dxa"/>
          </w:tcPr>
          <w:p w:rsidR="00880768" w:rsidRDefault="00880768" w:rsidP="00880768">
            <w:r>
              <w:t>Seniorrådgivar</w:t>
            </w:r>
          </w:p>
        </w:tc>
        <w:tc>
          <w:tcPr>
            <w:tcW w:w="900" w:type="dxa"/>
          </w:tcPr>
          <w:p w:rsidR="00880768" w:rsidRDefault="00880768" w:rsidP="00880768">
            <w:r>
              <w:t>2017</w:t>
            </w:r>
          </w:p>
        </w:tc>
        <w:tc>
          <w:tcPr>
            <w:tcW w:w="1040" w:type="dxa"/>
          </w:tcPr>
          <w:p w:rsidR="00880768" w:rsidRDefault="00880768" w:rsidP="00880768">
            <w:r>
              <w:t>46</w:t>
            </w:r>
          </w:p>
        </w:tc>
        <w:tc>
          <w:tcPr>
            <w:tcW w:w="1000" w:type="dxa"/>
          </w:tcPr>
          <w:p w:rsidR="00880768" w:rsidRDefault="00880768" w:rsidP="00880768">
            <w:r>
              <w:t>54</w:t>
            </w:r>
          </w:p>
        </w:tc>
        <w:tc>
          <w:tcPr>
            <w:tcW w:w="1000" w:type="dxa"/>
          </w:tcPr>
          <w:p w:rsidR="00880768" w:rsidRDefault="00880768" w:rsidP="00880768">
            <w:r>
              <w:t>63</w:t>
            </w:r>
          </w:p>
        </w:tc>
        <w:tc>
          <w:tcPr>
            <w:tcW w:w="1120" w:type="dxa"/>
          </w:tcPr>
          <w:p w:rsidR="00880768" w:rsidRDefault="00880768" w:rsidP="00880768">
            <w:r>
              <w:t>50 852</w:t>
            </w:r>
          </w:p>
        </w:tc>
        <w:tc>
          <w:tcPr>
            <w:tcW w:w="1120" w:type="dxa"/>
          </w:tcPr>
          <w:p w:rsidR="00880768" w:rsidRDefault="00880768" w:rsidP="00880768">
            <w:r>
              <w:t>48 389</w:t>
            </w:r>
          </w:p>
        </w:tc>
      </w:tr>
      <w:tr w:rsidR="00880768" w:rsidTr="00880768">
        <w:trPr>
          <w:trHeight w:val="380"/>
        </w:trPr>
        <w:tc>
          <w:tcPr>
            <w:tcW w:w="3340" w:type="dxa"/>
          </w:tcPr>
          <w:p w:rsidR="00880768" w:rsidRDefault="00880768" w:rsidP="00880768"/>
        </w:tc>
        <w:tc>
          <w:tcPr>
            <w:tcW w:w="900" w:type="dxa"/>
          </w:tcPr>
          <w:p w:rsidR="00880768" w:rsidRDefault="00880768" w:rsidP="00880768">
            <w:r>
              <w:t>2016</w:t>
            </w:r>
          </w:p>
        </w:tc>
        <w:tc>
          <w:tcPr>
            <w:tcW w:w="1040" w:type="dxa"/>
          </w:tcPr>
          <w:p w:rsidR="00880768" w:rsidRDefault="00880768" w:rsidP="00880768">
            <w:r>
              <w:t>45</w:t>
            </w:r>
          </w:p>
        </w:tc>
        <w:tc>
          <w:tcPr>
            <w:tcW w:w="1000" w:type="dxa"/>
          </w:tcPr>
          <w:p w:rsidR="00880768" w:rsidRDefault="00880768" w:rsidP="00880768">
            <w:r>
              <w:t>55</w:t>
            </w:r>
          </w:p>
        </w:tc>
        <w:tc>
          <w:tcPr>
            <w:tcW w:w="1000" w:type="dxa"/>
          </w:tcPr>
          <w:p w:rsidR="00880768" w:rsidRDefault="00880768" w:rsidP="00880768">
            <w:r>
              <w:t>62</w:t>
            </w:r>
          </w:p>
        </w:tc>
        <w:tc>
          <w:tcPr>
            <w:tcW w:w="1120" w:type="dxa"/>
          </w:tcPr>
          <w:p w:rsidR="00880768" w:rsidRDefault="00880768" w:rsidP="00880768">
            <w:r>
              <w:t>49 263</w:t>
            </w:r>
          </w:p>
        </w:tc>
        <w:tc>
          <w:tcPr>
            <w:tcW w:w="1120" w:type="dxa"/>
          </w:tcPr>
          <w:p w:rsidR="00880768" w:rsidRDefault="00880768" w:rsidP="00880768">
            <w:r>
              <w:t>47 782</w:t>
            </w:r>
          </w:p>
        </w:tc>
      </w:tr>
      <w:tr w:rsidR="00880768" w:rsidTr="00880768">
        <w:trPr>
          <w:trHeight w:val="380"/>
        </w:trPr>
        <w:tc>
          <w:tcPr>
            <w:tcW w:w="3340" w:type="dxa"/>
          </w:tcPr>
          <w:p w:rsidR="00880768" w:rsidRDefault="00880768" w:rsidP="00880768">
            <w:r>
              <w:t>Rådgivar</w:t>
            </w:r>
          </w:p>
        </w:tc>
        <w:tc>
          <w:tcPr>
            <w:tcW w:w="900" w:type="dxa"/>
          </w:tcPr>
          <w:p w:rsidR="00880768" w:rsidRDefault="00880768" w:rsidP="00880768">
            <w:r>
              <w:t>2017</w:t>
            </w:r>
          </w:p>
        </w:tc>
        <w:tc>
          <w:tcPr>
            <w:tcW w:w="1040" w:type="dxa"/>
          </w:tcPr>
          <w:p w:rsidR="00880768" w:rsidRDefault="00880768" w:rsidP="00880768">
            <w:r>
              <w:t>23</w:t>
            </w:r>
          </w:p>
        </w:tc>
        <w:tc>
          <w:tcPr>
            <w:tcW w:w="1000" w:type="dxa"/>
          </w:tcPr>
          <w:p w:rsidR="00880768" w:rsidRDefault="00880768" w:rsidP="00880768">
            <w:r>
              <w:t>77</w:t>
            </w:r>
          </w:p>
        </w:tc>
        <w:tc>
          <w:tcPr>
            <w:tcW w:w="1000" w:type="dxa"/>
          </w:tcPr>
          <w:p w:rsidR="00880768" w:rsidRDefault="00880768" w:rsidP="00880768">
            <w:r>
              <w:t>26</w:t>
            </w:r>
          </w:p>
        </w:tc>
        <w:tc>
          <w:tcPr>
            <w:tcW w:w="1120" w:type="dxa"/>
          </w:tcPr>
          <w:p w:rsidR="00880768" w:rsidRDefault="00880768" w:rsidP="00880768">
            <w:r>
              <w:t>40 893</w:t>
            </w:r>
          </w:p>
        </w:tc>
        <w:tc>
          <w:tcPr>
            <w:tcW w:w="1120" w:type="dxa"/>
          </w:tcPr>
          <w:p w:rsidR="00880768" w:rsidRDefault="00880768" w:rsidP="00880768">
            <w:r>
              <w:t>38 822</w:t>
            </w:r>
          </w:p>
        </w:tc>
      </w:tr>
      <w:tr w:rsidR="00880768" w:rsidTr="00880768">
        <w:trPr>
          <w:trHeight w:val="380"/>
        </w:trPr>
        <w:tc>
          <w:tcPr>
            <w:tcW w:w="3340" w:type="dxa"/>
          </w:tcPr>
          <w:p w:rsidR="00880768" w:rsidRDefault="00880768" w:rsidP="00880768"/>
        </w:tc>
        <w:tc>
          <w:tcPr>
            <w:tcW w:w="900" w:type="dxa"/>
          </w:tcPr>
          <w:p w:rsidR="00880768" w:rsidRDefault="00880768" w:rsidP="00880768">
            <w:r>
              <w:t>2016</w:t>
            </w:r>
          </w:p>
        </w:tc>
        <w:tc>
          <w:tcPr>
            <w:tcW w:w="1040" w:type="dxa"/>
          </w:tcPr>
          <w:p w:rsidR="00880768" w:rsidRDefault="00880768" w:rsidP="00880768">
            <w:r>
              <w:t>26</w:t>
            </w:r>
          </w:p>
        </w:tc>
        <w:tc>
          <w:tcPr>
            <w:tcW w:w="1000" w:type="dxa"/>
          </w:tcPr>
          <w:p w:rsidR="00880768" w:rsidRDefault="00880768" w:rsidP="00880768">
            <w:r>
              <w:t>74</w:t>
            </w:r>
          </w:p>
        </w:tc>
        <w:tc>
          <w:tcPr>
            <w:tcW w:w="1000" w:type="dxa"/>
          </w:tcPr>
          <w:p w:rsidR="00880768" w:rsidRDefault="00880768" w:rsidP="00880768">
            <w:r>
              <w:t>31</w:t>
            </w:r>
          </w:p>
        </w:tc>
        <w:tc>
          <w:tcPr>
            <w:tcW w:w="1120" w:type="dxa"/>
          </w:tcPr>
          <w:p w:rsidR="00880768" w:rsidRDefault="00880768" w:rsidP="00880768">
            <w:r>
              <w:t>40 525</w:t>
            </w:r>
          </w:p>
        </w:tc>
        <w:tc>
          <w:tcPr>
            <w:tcW w:w="1120" w:type="dxa"/>
          </w:tcPr>
          <w:p w:rsidR="00880768" w:rsidRDefault="00880768" w:rsidP="00880768">
            <w:r>
              <w:t>38 003</w:t>
            </w:r>
          </w:p>
        </w:tc>
      </w:tr>
      <w:tr w:rsidR="00880768" w:rsidTr="00880768">
        <w:trPr>
          <w:trHeight w:val="380"/>
        </w:trPr>
        <w:tc>
          <w:tcPr>
            <w:tcW w:w="3340" w:type="dxa"/>
          </w:tcPr>
          <w:p w:rsidR="00880768" w:rsidRDefault="00880768" w:rsidP="00880768">
            <w:r>
              <w:t>Førstekonsulent</w:t>
            </w:r>
          </w:p>
        </w:tc>
        <w:tc>
          <w:tcPr>
            <w:tcW w:w="900" w:type="dxa"/>
          </w:tcPr>
          <w:p w:rsidR="00880768" w:rsidRDefault="00880768" w:rsidP="00880768">
            <w:r>
              <w:t>2017</w:t>
            </w:r>
          </w:p>
        </w:tc>
        <w:tc>
          <w:tcPr>
            <w:tcW w:w="1040" w:type="dxa"/>
          </w:tcPr>
          <w:p w:rsidR="00880768" w:rsidRDefault="00880768" w:rsidP="00880768">
            <w:r>
              <w:t>56</w:t>
            </w:r>
          </w:p>
        </w:tc>
        <w:tc>
          <w:tcPr>
            <w:tcW w:w="1000" w:type="dxa"/>
          </w:tcPr>
          <w:p w:rsidR="00880768" w:rsidRDefault="00880768" w:rsidP="00880768">
            <w:r>
              <w:t>44</w:t>
            </w:r>
          </w:p>
        </w:tc>
        <w:tc>
          <w:tcPr>
            <w:tcW w:w="1000" w:type="dxa"/>
          </w:tcPr>
          <w:p w:rsidR="00880768" w:rsidRDefault="00880768" w:rsidP="00880768">
            <w:r>
              <w:t>9</w:t>
            </w:r>
          </w:p>
        </w:tc>
        <w:tc>
          <w:tcPr>
            <w:tcW w:w="1120" w:type="dxa"/>
          </w:tcPr>
          <w:p w:rsidR="00880768" w:rsidRDefault="00880768" w:rsidP="00880768">
            <w:r>
              <w:t>36 148</w:t>
            </w:r>
          </w:p>
        </w:tc>
        <w:tc>
          <w:tcPr>
            <w:tcW w:w="1120" w:type="dxa"/>
          </w:tcPr>
          <w:p w:rsidR="00880768" w:rsidRDefault="00880768" w:rsidP="00880768">
            <w:r>
              <w:t>36 092</w:t>
            </w:r>
          </w:p>
        </w:tc>
      </w:tr>
      <w:tr w:rsidR="00880768" w:rsidTr="00880768">
        <w:trPr>
          <w:trHeight w:val="380"/>
        </w:trPr>
        <w:tc>
          <w:tcPr>
            <w:tcW w:w="3340" w:type="dxa"/>
          </w:tcPr>
          <w:p w:rsidR="00880768" w:rsidRDefault="00880768" w:rsidP="00880768"/>
        </w:tc>
        <w:tc>
          <w:tcPr>
            <w:tcW w:w="900" w:type="dxa"/>
          </w:tcPr>
          <w:p w:rsidR="00880768" w:rsidRDefault="00880768" w:rsidP="00880768">
            <w:r>
              <w:t>2016</w:t>
            </w:r>
          </w:p>
        </w:tc>
        <w:tc>
          <w:tcPr>
            <w:tcW w:w="1040" w:type="dxa"/>
          </w:tcPr>
          <w:p w:rsidR="00880768" w:rsidRDefault="00880768" w:rsidP="00880768">
            <w:r>
              <w:t>-</w:t>
            </w:r>
          </w:p>
        </w:tc>
        <w:tc>
          <w:tcPr>
            <w:tcW w:w="1000" w:type="dxa"/>
          </w:tcPr>
          <w:p w:rsidR="00880768" w:rsidRDefault="00880768" w:rsidP="00880768">
            <w:r>
              <w:t>-</w:t>
            </w:r>
          </w:p>
        </w:tc>
        <w:tc>
          <w:tcPr>
            <w:tcW w:w="1000" w:type="dxa"/>
          </w:tcPr>
          <w:p w:rsidR="00880768" w:rsidRDefault="00880768" w:rsidP="00880768">
            <w:r>
              <w:t>-</w:t>
            </w:r>
          </w:p>
        </w:tc>
        <w:tc>
          <w:tcPr>
            <w:tcW w:w="1120" w:type="dxa"/>
          </w:tcPr>
          <w:p w:rsidR="00880768" w:rsidRDefault="00880768" w:rsidP="00880768">
            <w:r>
              <w:t>-</w:t>
            </w:r>
          </w:p>
        </w:tc>
        <w:tc>
          <w:tcPr>
            <w:tcW w:w="1120" w:type="dxa"/>
          </w:tcPr>
          <w:p w:rsidR="00880768" w:rsidRDefault="00880768" w:rsidP="00880768">
            <w:r>
              <w:t>-</w:t>
            </w:r>
          </w:p>
        </w:tc>
      </w:tr>
      <w:tr w:rsidR="00880768" w:rsidTr="00880768">
        <w:trPr>
          <w:trHeight w:val="380"/>
        </w:trPr>
        <w:tc>
          <w:tcPr>
            <w:tcW w:w="3340" w:type="dxa"/>
          </w:tcPr>
          <w:p w:rsidR="00880768" w:rsidRDefault="00880768" w:rsidP="00880768">
            <w:r>
              <w:t>Sjukefråværsstatistikk (leg</w:t>
            </w:r>
            <w:r>
              <w:t>e</w:t>
            </w:r>
            <w:r>
              <w:t xml:space="preserve">meldt) </w:t>
            </w:r>
          </w:p>
        </w:tc>
        <w:tc>
          <w:tcPr>
            <w:tcW w:w="900" w:type="dxa"/>
          </w:tcPr>
          <w:p w:rsidR="00880768" w:rsidRDefault="00880768" w:rsidP="00880768">
            <w:r>
              <w:t>2017</w:t>
            </w:r>
          </w:p>
        </w:tc>
        <w:tc>
          <w:tcPr>
            <w:tcW w:w="1040" w:type="dxa"/>
          </w:tcPr>
          <w:p w:rsidR="00880768" w:rsidRDefault="00880768" w:rsidP="00880768">
            <w:r>
              <w:t>2,1</w:t>
            </w:r>
          </w:p>
        </w:tc>
        <w:tc>
          <w:tcPr>
            <w:tcW w:w="1000" w:type="dxa"/>
          </w:tcPr>
          <w:p w:rsidR="00880768" w:rsidRDefault="00880768" w:rsidP="00880768">
            <w:r>
              <w:t>6,1</w:t>
            </w:r>
          </w:p>
        </w:tc>
        <w:tc>
          <w:tcPr>
            <w:tcW w:w="1000" w:type="dxa"/>
          </w:tcPr>
          <w:p w:rsidR="00880768" w:rsidRDefault="00880768" w:rsidP="00880768">
            <w:r>
              <w:t>4,1</w:t>
            </w:r>
          </w:p>
        </w:tc>
        <w:tc>
          <w:tcPr>
            <w:tcW w:w="1120" w:type="dxa"/>
          </w:tcPr>
          <w:p w:rsidR="00880768" w:rsidRDefault="00880768" w:rsidP="00880768"/>
        </w:tc>
        <w:tc>
          <w:tcPr>
            <w:tcW w:w="1120" w:type="dxa"/>
          </w:tcPr>
          <w:p w:rsidR="00880768" w:rsidRDefault="00880768" w:rsidP="00880768"/>
        </w:tc>
      </w:tr>
      <w:tr w:rsidR="00880768" w:rsidTr="00880768">
        <w:trPr>
          <w:trHeight w:val="380"/>
        </w:trPr>
        <w:tc>
          <w:tcPr>
            <w:tcW w:w="3340" w:type="dxa"/>
          </w:tcPr>
          <w:p w:rsidR="00880768" w:rsidRDefault="00880768" w:rsidP="00880768"/>
        </w:tc>
        <w:tc>
          <w:tcPr>
            <w:tcW w:w="900" w:type="dxa"/>
          </w:tcPr>
          <w:p w:rsidR="00880768" w:rsidRDefault="00880768" w:rsidP="00880768">
            <w:r>
              <w:t>2016</w:t>
            </w:r>
          </w:p>
        </w:tc>
        <w:tc>
          <w:tcPr>
            <w:tcW w:w="1040" w:type="dxa"/>
          </w:tcPr>
          <w:p w:rsidR="00880768" w:rsidRDefault="00880768" w:rsidP="00880768">
            <w:r>
              <w:t>1,9</w:t>
            </w:r>
          </w:p>
        </w:tc>
        <w:tc>
          <w:tcPr>
            <w:tcW w:w="1000" w:type="dxa"/>
          </w:tcPr>
          <w:p w:rsidR="00880768" w:rsidRDefault="00880768" w:rsidP="00880768">
            <w:r>
              <w:t>5,5</w:t>
            </w:r>
          </w:p>
        </w:tc>
        <w:tc>
          <w:tcPr>
            <w:tcW w:w="1000" w:type="dxa"/>
          </w:tcPr>
          <w:p w:rsidR="00880768" w:rsidRDefault="00880768" w:rsidP="00880768">
            <w:r>
              <w:t>3,7</w:t>
            </w:r>
          </w:p>
        </w:tc>
        <w:tc>
          <w:tcPr>
            <w:tcW w:w="1120" w:type="dxa"/>
          </w:tcPr>
          <w:p w:rsidR="00880768" w:rsidRDefault="00880768" w:rsidP="00880768"/>
        </w:tc>
        <w:tc>
          <w:tcPr>
            <w:tcW w:w="1120" w:type="dxa"/>
          </w:tcPr>
          <w:p w:rsidR="00880768" w:rsidRDefault="00880768" w:rsidP="00880768"/>
        </w:tc>
      </w:tr>
    </w:tbl>
    <w:p w:rsidR="00880768" w:rsidRDefault="00880768" w:rsidP="00B52901">
      <w:pPr>
        <w:pStyle w:val="tabell-noter"/>
      </w:pPr>
      <w:r>
        <w:t xml:space="preserve">Kategoriar med berre ein tilsett er ikkje med i oversikta. Det er fem tilsette på leiarlønskontrakt som ikkje er med i </w:t>
      </w:r>
      <w:proofErr w:type="gramStart"/>
      <w:r>
        <w:t>denne oversikta</w:t>
      </w:r>
      <w:proofErr w:type="gramEnd"/>
      <w:r>
        <w:t>. Månadslønn er basert på faktisk lønnsberekning, ekskludert overtidsbetaling.</w:t>
      </w:r>
    </w:p>
    <w:p w:rsidR="002F7289" w:rsidRDefault="002F7289" w:rsidP="0063539A">
      <w:pPr>
        <w:pStyle w:val="tabell-tittel"/>
      </w:pPr>
      <w:r>
        <w:rPr>
          <w:sz w:val="21"/>
          <w:szCs w:val="21"/>
        </w:rPr>
        <w:t>Tilstandsrapportering (kjønn) i Oljedirektoratet per 31. desember 2017 samanlikna med tal per 31. desember 2016</w:t>
      </w:r>
    </w:p>
    <w:p w:rsidR="00880768" w:rsidRDefault="00880768" w:rsidP="00880768">
      <w:pPr>
        <w:pStyle w:val="Tabellnavn"/>
      </w:pPr>
      <w:r>
        <w:t>07J3xt2</w:t>
      </w:r>
    </w:p>
    <w:tbl>
      <w:tblPr>
        <w:tblStyle w:val="StandardTabell"/>
        <w:tblW w:w="0" w:type="auto"/>
        <w:tblLayout w:type="fixed"/>
        <w:tblLook w:val="04A0" w:firstRow="1" w:lastRow="0" w:firstColumn="1" w:lastColumn="0" w:noHBand="0" w:noVBand="1"/>
      </w:tblPr>
      <w:tblGrid>
        <w:gridCol w:w="3280"/>
        <w:gridCol w:w="840"/>
        <w:gridCol w:w="1040"/>
        <w:gridCol w:w="1060"/>
        <w:gridCol w:w="1060"/>
        <w:gridCol w:w="1120"/>
        <w:gridCol w:w="1120"/>
      </w:tblGrid>
      <w:tr w:rsidR="00880768" w:rsidTr="00880768">
        <w:trPr>
          <w:trHeight w:val="360"/>
        </w:trPr>
        <w:tc>
          <w:tcPr>
            <w:tcW w:w="3280" w:type="dxa"/>
          </w:tcPr>
          <w:p w:rsidR="00880768" w:rsidRDefault="00880768" w:rsidP="00880768"/>
        </w:tc>
        <w:tc>
          <w:tcPr>
            <w:tcW w:w="840" w:type="dxa"/>
          </w:tcPr>
          <w:p w:rsidR="00880768" w:rsidRDefault="00880768" w:rsidP="00880768"/>
        </w:tc>
        <w:tc>
          <w:tcPr>
            <w:tcW w:w="3160" w:type="dxa"/>
            <w:gridSpan w:val="3"/>
          </w:tcPr>
          <w:p w:rsidR="00880768" w:rsidRDefault="00880768" w:rsidP="00880768">
            <w:r>
              <w:t>Kjønnsbalanse</w:t>
            </w:r>
          </w:p>
        </w:tc>
        <w:tc>
          <w:tcPr>
            <w:tcW w:w="2240" w:type="dxa"/>
            <w:gridSpan w:val="2"/>
          </w:tcPr>
          <w:p w:rsidR="00880768" w:rsidRDefault="00880768" w:rsidP="00880768">
            <w:r>
              <w:t>Månadslønn</w:t>
            </w:r>
          </w:p>
        </w:tc>
      </w:tr>
      <w:tr w:rsidR="00880768" w:rsidTr="00880768">
        <w:trPr>
          <w:trHeight w:val="360"/>
        </w:trPr>
        <w:tc>
          <w:tcPr>
            <w:tcW w:w="3280" w:type="dxa"/>
          </w:tcPr>
          <w:p w:rsidR="00880768" w:rsidRDefault="00880768" w:rsidP="00880768"/>
        </w:tc>
        <w:tc>
          <w:tcPr>
            <w:tcW w:w="840" w:type="dxa"/>
          </w:tcPr>
          <w:p w:rsidR="00880768" w:rsidRDefault="00880768" w:rsidP="00880768"/>
        </w:tc>
        <w:tc>
          <w:tcPr>
            <w:tcW w:w="1040" w:type="dxa"/>
          </w:tcPr>
          <w:p w:rsidR="00880768" w:rsidRDefault="00880768" w:rsidP="00880768">
            <w:r>
              <w:t>Menn</w:t>
            </w:r>
          </w:p>
        </w:tc>
        <w:tc>
          <w:tcPr>
            <w:tcW w:w="1060" w:type="dxa"/>
          </w:tcPr>
          <w:p w:rsidR="00880768" w:rsidRDefault="00880768" w:rsidP="00880768">
            <w:r>
              <w:t>Kvinner</w:t>
            </w:r>
          </w:p>
        </w:tc>
        <w:tc>
          <w:tcPr>
            <w:tcW w:w="1060" w:type="dxa"/>
          </w:tcPr>
          <w:p w:rsidR="00880768" w:rsidRDefault="00880768" w:rsidP="00880768">
            <w:r>
              <w:t>Total</w:t>
            </w:r>
          </w:p>
        </w:tc>
        <w:tc>
          <w:tcPr>
            <w:tcW w:w="1120" w:type="dxa"/>
          </w:tcPr>
          <w:p w:rsidR="00880768" w:rsidRDefault="00880768" w:rsidP="00880768">
            <w:r>
              <w:t>Menn</w:t>
            </w:r>
          </w:p>
        </w:tc>
        <w:tc>
          <w:tcPr>
            <w:tcW w:w="1120" w:type="dxa"/>
          </w:tcPr>
          <w:p w:rsidR="00880768" w:rsidRDefault="00880768" w:rsidP="00880768">
            <w:r>
              <w:t>Kvinner</w:t>
            </w:r>
          </w:p>
        </w:tc>
      </w:tr>
      <w:tr w:rsidR="00880768" w:rsidTr="00880768">
        <w:trPr>
          <w:trHeight w:val="360"/>
        </w:trPr>
        <w:tc>
          <w:tcPr>
            <w:tcW w:w="3280" w:type="dxa"/>
          </w:tcPr>
          <w:p w:rsidR="00880768" w:rsidRDefault="00880768" w:rsidP="00880768"/>
        </w:tc>
        <w:tc>
          <w:tcPr>
            <w:tcW w:w="840" w:type="dxa"/>
          </w:tcPr>
          <w:p w:rsidR="00880768" w:rsidRDefault="00880768" w:rsidP="00880768"/>
        </w:tc>
        <w:tc>
          <w:tcPr>
            <w:tcW w:w="1040" w:type="dxa"/>
          </w:tcPr>
          <w:p w:rsidR="00880768" w:rsidRDefault="00880768" w:rsidP="00880768">
            <w:r>
              <w:t>Prosent</w:t>
            </w:r>
          </w:p>
        </w:tc>
        <w:tc>
          <w:tcPr>
            <w:tcW w:w="1060" w:type="dxa"/>
          </w:tcPr>
          <w:p w:rsidR="00880768" w:rsidRDefault="00880768" w:rsidP="00880768">
            <w:r>
              <w:t>Prosent</w:t>
            </w:r>
          </w:p>
        </w:tc>
        <w:tc>
          <w:tcPr>
            <w:tcW w:w="1060" w:type="dxa"/>
          </w:tcPr>
          <w:p w:rsidR="00880768" w:rsidRDefault="00880768" w:rsidP="00880768">
            <w:r>
              <w:t>(N)</w:t>
            </w:r>
          </w:p>
        </w:tc>
        <w:tc>
          <w:tcPr>
            <w:tcW w:w="1120" w:type="dxa"/>
          </w:tcPr>
          <w:p w:rsidR="00880768" w:rsidRDefault="00880768" w:rsidP="00880768">
            <w:r>
              <w:t>Kroner</w:t>
            </w:r>
          </w:p>
        </w:tc>
        <w:tc>
          <w:tcPr>
            <w:tcW w:w="1120" w:type="dxa"/>
          </w:tcPr>
          <w:p w:rsidR="00880768" w:rsidRDefault="00880768" w:rsidP="00880768">
            <w:r>
              <w:t>Kroner</w:t>
            </w:r>
          </w:p>
        </w:tc>
      </w:tr>
      <w:tr w:rsidR="00880768" w:rsidTr="00880768">
        <w:trPr>
          <w:trHeight w:val="380"/>
        </w:trPr>
        <w:tc>
          <w:tcPr>
            <w:tcW w:w="3280" w:type="dxa"/>
          </w:tcPr>
          <w:p w:rsidR="00880768" w:rsidRDefault="00880768" w:rsidP="00880768">
            <w:r>
              <w:t>Totalt i OD</w:t>
            </w:r>
          </w:p>
        </w:tc>
        <w:tc>
          <w:tcPr>
            <w:tcW w:w="840" w:type="dxa"/>
          </w:tcPr>
          <w:p w:rsidR="00880768" w:rsidRDefault="00880768" w:rsidP="00880768">
            <w:r>
              <w:t>2017</w:t>
            </w:r>
          </w:p>
        </w:tc>
        <w:tc>
          <w:tcPr>
            <w:tcW w:w="1040" w:type="dxa"/>
          </w:tcPr>
          <w:p w:rsidR="00880768" w:rsidRDefault="00880768" w:rsidP="00880768">
            <w:r>
              <w:t>56</w:t>
            </w:r>
          </w:p>
        </w:tc>
        <w:tc>
          <w:tcPr>
            <w:tcW w:w="1060" w:type="dxa"/>
          </w:tcPr>
          <w:p w:rsidR="00880768" w:rsidRDefault="00880768" w:rsidP="00880768">
            <w:r>
              <w:t>44</w:t>
            </w:r>
          </w:p>
        </w:tc>
        <w:tc>
          <w:tcPr>
            <w:tcW w:w="1060" w:type="dxa"/>
          </w:tcPr>
          <w:p w:rsidR="00880768" w:rsidRDefault="00880768" w:rsidP="00880768">
            <w:r>
              <w:t>219</w:t>
            </w:r>
          </w:p>
        </w:tc>
        <w:tc>
          <w:tcPr>
            <w:tcW w:w="1120" w:type="dxa"/>
          </w:tcPr>
          <w:p w:rsidR="00880768" w:rsidRDefault="00880768" w:rsidP="00880768">
            <w:r>
              <w:t>67 026</w:t>
            </w:r>
          </w:p>
        </w:tc>
        <w:tc>
          <w:tcPr>
            <w:tcW w:w="1120" w:type="dxa"/>
          </w:tcPr>
          <w:p w:rsidR="00880768" w:rsidRDefault="00880768" w:rsidP="00880768">
            <w:r>
              <w:t>60 062</w:t>
            </w:r>
          </w:p>
        </w:tc>
      </w:tr>
      <w:tr w:rsidR="00880768" w:rsidTr="00880768">
        <w:trPr>
          <w:trHeight w:val="380"/>
        </w:trPr>
        <w:tc>
          <w:tcPr>
            <w:tcW w:w="3280" w:type="dxa"/>
          </w:tcPr>
          <w:p w:rsidR="00880768" w:rsidRDefault="00880768" w:rsidP="00880768"/>
        </w:tc>
        <w:tc>
          <w:tcPr>
            <w:tcW w:w="840" w:type="dxa"/>
          </w:tcPr>
          <w:p w:rsidR="00880768" w:rsidRDefault="00880768" w:rsidP="00880768">
            <w:r>
              <w:t>2016</w:t>
            </w:r>
          </w:p>
        </w:tc>
        <w:tc>
          <w:tcPr>
            <w:tcW w:w="1040" w:type="dxa"/>
          </w:tcPr>
          <w:p w:rsidR="00880768" w:rsidRDefault="00880768" w:rsidP="00880768">
            <w:r>
              <w:t>53</w:t>
            </w:r>
          </w:p>
        </w:tc>
        <w:tc>
          <w:tcPr>
            <w:tcW w:w="1060" w:type="dxa"/>
          </w:tcPr>
          <w:p w:rsidR="00880768" w:rsidRDefault="00880768" w:rsidP="00880768">
            <w:r>
              <w:t>47</w:t>
            </w:r>
          </w:p>
        </w:tc>
        <w:tc>
          <w:tcPr>
            <w:tcW w:w="1060" w:type="dxa"/>
          </w:tcPr>
          <w:p w:rsidR="00880768" w:rsidRDefault="00880768" w:rsidP="00880768">
            <w:r>
              <w:t>223</w:t>
            </w:r>
          </w:p>
        </w:tc>
        <w:tc>
          <w:tcPr>
            <w:tcW w:w="1120" w:type="dxa"/>
          </w:tcPr>
          <w:p w:rsidR="00880768" w:rsidRDefault="00880768" w:rsidP="00880768">
            <w:r>
              <w:t>65 756</w:t>
            </w:r>
          </w:p>
        </w:tc>
        <w:tc>
          <w:tcPr>
            <w:tcW w:w="1120" w:type="dxa"/>
          </w:tcPr>
          <w:p w:rsidR="00880768" w:rsidRDefault="00880768" w:rsidP="00880768">
            <w:r>
              <w:t>58 622</w:t>
            </w:r>
          </w:p>
        </w:tc>
      </w:tr>
      <w:tr w:rsidR="00880768" w:rsidTr="00880768">
        <w:trPr>
          <w:trHeight w:val="380"/>
        </w:trPr>
        <w:tc>
          <w:tcPr>
            <w:tcW w:w="3280" w:type="dxa"/>
          </w:tcPr>
          <w:p w:rsidR="00880768" w:rsidRDefault="00880768" w:rsidP="00880768">
            <w:r>
              <w:t>Leiarar eks. toppdirektør</w:t>
            </w:r>
          </w:p>
        </w:tc>
        <w:tc>
          <w:tcPr>
            <w:tcW w:w="840" w:type="dxa"/>
          </w:tcPr>
          <w:p w:rsidR="00880768" w:rsidRDefault="00880768" w:rsidP="00880768">
            <w:r>
              <w:t>2017</w:t>
            </w:r>
          </w:p>
        </w:tc>
        <w:tc>
          <w:tcPr>
            <w:tcW w:w="1040" w:type="dxa"/>
          </w:tcPr>
          <w:p w:rsidR="00880768" w:rsidRDefault="00880768" w:rsidP="00880768">
            <w:r>
              <w:t>50</w:t>
            </w:r>
          </w:p>
        </w:tc>
        <w:tc>
          <w:tcPr>
            <w:tcW w:w="1060" w:type="dxa"/>
          </w:tcPr>
          <w:p w:rsidR="00880768" w:rsidRDefault="00880768" w:rsidP="00880768">
            <w:r>
              <w:t>50</w:t>
            </w:r>
          </w:p>
        </w:tc>
        <w:tc>
          <w:tcPr>
            <w:tcW w:w="1060" w:type="dxa"/>
          </w:tcPr>
          <w:p w:rsidR="00880768" w:rsidRDefault="00880768" w:rsidP="00880768">
            <w:r>
              <w:t>16</w:t>
            </w:r>
          </w:p>
        </w:tc>
        <w:tc>
          <w:tcPr>
            <w:tcW w:w="1120" w:type="dxa"/>
          </w:tcPr>
          <w:p w:rsidR="00880768" w:rsidRDefault="00880768" w:rsidP="00880768">
            <w:r>
              <w:t>99 656</w:t>
            </w:r>
          </w:p>
        </w:tc>
        <w:tc>
          <w:tcPr>
            <w:tcW w:w="1120" w:type="dxa"/>
          </w:tcPr>
          <w:p w:rsidR="00880768" w:rsidRDefault="00880768" w:rsidP="00880768">
            <w:r>
              <w:t>99 321</w:t>
            </w:r>
          </w:p>
        </w:tc>
      </w:tr>
      <w:tr w:rsidR="00880768" w:rsidTr="00880768">
        <w:trPr>
          <w:trHeight w:val="380"/>
        </w:trPr>
        <w:tc>
          <w:tcPr>
            <w:tcW w:w="3280" w:type="dxa"/>
          </w:tcPr>
          <w:p w:rsidR="00880768" w:rsidRDefault="00880768" w:rsidP="00880768"/>
        </w:tc>
        <w:tc>
          <w:tcPr>
            <w:tcW w:w="840" w:type="dxa"/>
          </w:tcPr>
          <w:p w:rsidR="00880768" w:rsidRDefault="00880768" w:rsidP="00880768">
            <w:r>
              <w:t>2016</w:t>
            </w:r>
          </w:p>
        </w:tc>
        <w:tc>
          <w:tcPr>
            <w:tcW w:w="1040" w:type="dxa"/>
          </w:tcPr>
          <w:p w:rsidR="00880768" w:rsidRDefault="00880768" w:rsidP="00880768">
            <w:r>
              <w:t>50</w:t>
            </w:r>
          </w:p>
        </w:tc>
        <w:tc>
          <w:tcPr>
            <w:tcW w:w="1060" w:type="dxa"/>
          </w:tcPr>
          <w:p w:rsidR="00880768" w:rsidRDefault="00880768" w:rsidP="00880768">
            <w:r>
              <w:t>50</w:t>
            </w:r>
          </w:p>
        </w:tc>
        <w:tc>
          <w:tcPr>
            <w:tcW w:w="1060" w:type="dxa"/>
          </w:tcPr>
          <w:p w:rsidR="00880768" w:rsidRDefault="00880768" w:rsidP="00880768">
            <w:r>
              <w:t>16</w:t>
            </w:r>
          </w:p>
        </w:tc>
        <w:tc>
          <w:tcPr>
            <w:tcW w:w="1120" w:type="dxa"/>
          </w:tcPr>
          <w:p w:rsidR="00880768" w:rsidRDefault="00880768" w:rsidP="00880768">
            <w:r>
              <w:t>99 714</w:t>
            </w:r>
          </w:p>
        </w:tc>
        <w:tc>
          <w:tcPr>
            <w:tcW w:w="1120" w:type="dxa"/>
          </w:tcPr>
          <w:p w:rsidR="00880768" w:rsidRDefault="00880768" w:rsidP="00880768">
            <w:r>
              <w:t>98 802</w:t>
            </w:r>
          </w:p>
        </w:tc>
      </w:tr>
      <w:tr w:rsidR="00880768" w:rsidTr="00880768">
        <w:trPr>
          <w:trHeight w:val="380"/>
        </w:trPr>
        <w:tc>
          <w:tcPr>
            <w:tcW w:w="3280" w:type="dxa"/>
          </w:tcPr>
          <w:p w:rsidR="00880768" w:rsidRDefault="00880768" w:rsidP="00880768">
            <w:r>
              <w:t>Sjefingeniør</w:t>
            </w:r>
          </w:p>
        </w:tc>
        <w:tc>
          <w:tcPr>
            <w:tcW w:w="840" w:type="dxa"/>
          </w:tcPr>
          <w:p w:rsidR="00880768" w:rsidRDefault="00880768" w:rsidP="00880768">
            <w:r>
              <w:t>2017</w:t>
            </w:r>
          </w:p>
        </w:tc>
        <w:tc>
          <w:tcPr>
            <w:tcW w:w="1040" w:type="dxa"/>
          </w:tcPr>
          <w:p w:rsidR="00880768" w:rsidRDefault="00880768" w:rsidP="00880768">
            <w:r>
              <w:t>61</w:t>
            </w:r>
          </w:p>
        </w:tc>
        <w:tc>
          <w:tcPr>
            <w:tcW w:w="1060" w:type="dxa"/>
          </w:tcPr>
          <w:p w:rsidR="00880768" w:rsidRDefault="00880768" w:rsidP="00880768">
            <w:r>
              <w:t>39</w:t>
            </w:r>
          </w:p>
        </w:tc>
        <w:tc>
          <w:tcPr>
            <w:tcW w:w="1060" w:type="dxa"/>
          </w:tcPr>
          <w:p w:rsidR="00880768" w:rsidRDefault="00880768" w:rsidP="00880768">
            <w:r>
              <w:t>153</w:t>
            </w:r>
          </w:p>
        </w:tc>
        <w:tc>
          <w:tcPr>
            <w:tcW w:w="1120" w:type="dxa"/>
          </w:tcPr>
          <w:p w:rsidR="00880768" w:rsidRDefault="00880768" w:rsidP="00880768">
            <w:r>
              <w:t>69 312</w:t>
            </w:r>
          </w:p>
        </w:tc>
        <w:tc>
          <w:tcPr>
            <w:tcW w:w="1120" w:type="dxa"/>
          </w:tcPr>
          <w:p w:rsidR="00880768" w:rsidRDefault="00880768" w:rsidP="00880768">
            <w:r>
              <w:t>63 272</w:t>
            </w:r>
          </w:p>
        </w:tc>
      </w:tr>
      <w:tr w:rsidR="00880768" w:rsidTr="00880768">
        <w:trPr>
          <w:trHeight w:val="380"/>
        </w:trPr>
        <w:tc>
          <w:tcPr>
            <w:tcW w:w="3280" w:type="dxa"/>
          </w:tcPr>
          <w:p w:rsidR="00880768" w:rsidRDefault="00880768" w:rsidP="00880768"/>
        </w:tc>
        <w:tc>
          <w:tcPr>
            <w:tcW w:w="840" w:type="dxa"/>
          </w:tcPr>
          <w:p w:rsidR="00880768" w:rsidRDefault="00880768" w:rsidP="00880768">
            <w:r>
              <w:t>2016</w:t>
            </w:r>
          </w:p>
        </w:tc>
        <w:tc>
          <w:tcPr>
            <w:tcW w:w="1040" w:type="dxa"/>
          </w:tcPr>
          <w:p w:rsidR="00880768" w:rsidRDefault="00880768" w:rsidP="00880768">
            <w:r>
              <w:t>61</w:t>
            </w:r>
          </w:p>
        </w:tc>
        <w:tc>
          <w:tcPr>
            <w:tcW w:w="1060" w:type="dxa"/>
          </w:tcPr>
          <w:p w:rsidR="00880768" w:rsidRDefault="00880768" w:rsidP="00880768">
            <w:r>
              <w:t>39</w:t>
            </w:r>
          </w:p>
        </w:tc>
        <w:tc>
          <w:tcPr>
            <w:tcW w:w="1060" w:type="dxa"/>
          </w:tcPr>
          <w:p w:rsidR="00880768" w:rsidRDefault="00880768" w:rsidP="00880768">
            <w:r>
              <w:t>150</w:t>
            </w:r>
          </w:p>
        </w:tc>
        <w:tc>
          <w:tcPr>
            <w:tcW w:w="1120" w:type="dxa"/>
          </w:tcPr>
          <w:p w:rsidR="00880768" w:rsidRDefault="00880768" w:rsidP="00880768">
            <w:r>
              <w:t>68 031</w:t>
            </w:r>
          </w:p>
        </w:tc>
        <w:tc>
          <w:tcPr>
            <w:tcW w:w="1120" w:type="dxa"/>
          </w:tcPr>
          <w:p w:rsidR="00880768" w:rsidRDefault="00880768" w:rsidP="00880768">
            <w:r>
              <w:t>63 260</w:t>
            </w:r>
          </w:p>
        </w:tc>
      </w:tr>
      <w:tr w:rsidR="00880768" w:rsidTr="00880768">
        <w:trPr>
          <w:trHeight w:val="380"/>
        </w:trPr>
        <w:tc>
          <w:tcPr>
            <w:tcW w:w="3280" w:type="dxa"/>
          </w:tcPr>
          <w:p w:rsidR="00880768" w:rsidRDefault="00880768" w:rsidP="00880768">
            <w:r>
              <w:t>Overingeniør</w:t>
            </w:r>
          </w:p>
        </w:tc>
        <w:tc>
          <w:tcPr>
            <w:tcW w:w="840" w:type="dxa"/>
          </w:tcPr>
          <w:p w:rsidR="00880768" w:rsidRDefault="00880768" w:rsidP="00880768">
            <w:r>
              <w:t>2017</w:t>
            </w:r>
          </w:p>
        </w:tc>
        <w:tc>
          <w:tcPr>
            <w:tcW w:w="1040" w:type="dxa"/>
          </w:tcPr>
          <w:p w:rsidR="00880768" w:rsidRDefault="00880768" w:rsidP="00880768">
            <w:r>
              <w:t>50</w:t>
            </w:r>
          </w:p>
        </w:tc>
        <w:tc>
          <w:tcPr>
            <w:tcW w:w="1060" w:type="dxa"/>
          </w:tcPr>
          <w:p w:rsidR="00880768" w:rsidRDefault="00880768" w:rsidP="00880768">
            <w:r>
              <w:t>50</w:t>
            </w:r>
          </w:p>
        </w:tc>
        <w:tc>
          <w:tcPr>
            <w:tcW w:w="1060" w:type="dxa"/>
          </w:tcPr>
          <w:p w:rsidR="00880768" w:rsidRDefault="00880768" w:rsidP="00880768">
            <w:r>
              <w:t>20</w:t>
            </w:r>
          </w:p>
        </w:tc>
        <w:tc>
          <w:tcPr>
            <w:tcW w:w="1120" w:type="dxa"/>
          </w:tcPr>
          <w:p w:rsidR="00880768" w:rsidRDefault="00880768" w:rsidP="00880768">
            <w:r>
              <w:t xml:space="preserve"> 45 016</w:t>
            </w:r>
          </w:p>
        </w:tc>
        <w:tc>
          <w:tcPr>
            <w:tcW w:w="1120" w:type="dxa"/>
          </w:tcPr>
          <w:p w:rsidR="00880768" w:rsidRDefault="00880768" w:rsidP="00880768">
            <w:r>
              <w:t>45 387</w:t>
            </w:r>
          </w:p>
        </w:tc>
      </w:tr>
      <w:tr w:rsidR="00880768" w:rsidTr="00880768">
        <w:trPr>
          <w:trHeight w:val="380"/>
        </w:trPr>
        <w:tc>
          <w:tcPr>
            <w:tcW w:w="3280" w:type="dxa"/>
          </w:tcPr>
          <w:p w:rsidR="00880768" w:rsidRDefault="00880768" w:rsidP="00880768"/>
        </w:tc>
        <w:tc>
          <w:tcPr>
            <w:tcW w:w="840" w:type="dxa"/>
          </w:tcPr>
          <w:p w:rsidR="00880768" w:rsidRDefault="00880768" w:rsidP="00880768">
            <w:r>
              <w:t>2016</w:t>
            </w:r>
          </w:p>
        </w:tc>
        <w:tc>
          <w:tcPr>
            <w:tcW w:w="1040" w:type="dxa"/>
          </w:tcPr>
          <w:p w:rsidR="00880768" w:rsidRDefault="00880768" w:rsidP="00880768">
            <w:r>
              <w:t>36</w:t>
            </w:r>
          </w:p>
        </w:tc>
        <w:tc>
          <w:tcPr>
            <w:tcW w:w="1060" w:type="dxa"/>
          </w:tcPr>
          <w:p w:rsidR="00880768" w:rsidRDefault="00880768" w:rsidP="00880768">
            <w:r>
              <w:t>64</w:t>
            </w:r>
          </w:p>
        </w:tc>
        <w:tc>
          <w:tcPr>
            <w:tcW w:w="1060" w:type="dxa"/>
          </w:tcPr>
          <w:p w:rsidR="00880768" w:rsidRDefault="00880768" w:rsidP="00880768">
            <w:r>
              <w:t>22</w:t>
            </w:r>
          </w:p>
        </w:tc>
        <w:tc>
          <w:tcPr>
            <w:tcW w:w="1120" w:type="dxa"/>
          </w:tcPr>
          <w:p w:rsidR="00880768" w:rsidRDefault="00880768" w:rsidP="00880768">
            <w:r>
              <w:t>44 914</w:t>
            </w:r>
          </w:p>
        </w:tc>
        <w:tc>
          <w:tcPr>
            <w:tcW w:w="1120" w:type="dxa"/>
          </w:tcPr>
          <w:p w:rsidR="00880768" w:rsidRDefault="00880768" w:rsidP="00880768">
            <w:r>
              <w:t>45 266</w:t>
            </w:r>
          </w:p>
        </w:tc>
      </w:tr>
      <w:tr w:rsidR="00880768" w:rsidTr="00880768">
        <w:trPr>
          <w:trHeight w:val="380"/>
        </w:trPr>
        <w:tc>
          <w:tcPr>
            <w:tcW w:w="3280" w:type="dxa"/>
          </w:tcPr>
          <w:p w:rsidR="00880768" w:rsidRDefault="00880768" w:rsidP="00880768">
            <w:r>
              <w:t>Avdelingsingeniør</w:t>
            </w:r>
          </w:p>
        </w:tc>
        <w:tc>
          <w:tcPr>
            <w:tcW w:w="840" w:type="dxa"/>
          </w:tcPr>
          <w:p w:rsidR="00880768" w:rsidRDefault="00880768" w:rsidP="00880768">
            <w:r>
              <w:t>2017</w:t>
            </w:r>
          </w:p>
        </w:tc>
        <w:tc>
          <w:tcPr>
            <w:tcW w:w="1040" w:type="dxa"/>
          </w:tcPr>
          <w:p w:rsidR="00880768" w:rsidRDefault="00880768" w:rsidP="00880768">
            <w:r>
              <w:t>40</w:t>
            </w:r>
          </w:p>
        </w:tc>
        <w:tc>
          <w:tcPr>
            <w:tcW w:w="1060" w:type="dxa"/>
          </w:tcPr>
          <w:p w:rsidR="00880768" w:rsidRDefault="00880768" w:rsidP="00880768">
            <w:r>
              <w:t>60</w:t>
            </w:r>
          </w:p>
        </w:tc>
        <w:tc>
          <w:tcPr>
            <w:tcW w:w="1060" w:type="dxa"/>
          </w:tcPr>
          <w:p w:rsidR="00880768" w:rsidRDefault="00880768" w:rsidP="00880768">
            <w:r>
              <w:t>5</w:t>
            </w:r>
          </w:p>
        </w:tc>
        <w:tc>
          <w:tcPr>
            <w:tcW w:w="1120" w:type="dxa"/>
          </w:tcPr>
          <w:p w:rsidR="00880768" w:rsidRDefault="00880768" w:rsidP="00880768">
            <w:r>
              <w:t>38 111</w:t>
            </w:r>
          </w:p>
        </w:tc>
        <w:tc>
          <w:tcPr>
            <w:tcW w:w="1120" w:type="dxa"/>
          </w:tcPr>
          <w:p w:rsidR="00880768" w:rsidRDefault="00880768" w:rsidP="00880768">
            <w:r>
              <w:t>40 932</w:t>
            </w:r>
          </w:p>
        </w:tc>
      </w:tr>
      <w:tr w:rsidR="00880768" w:rsidTr="00880768">
        <w:trPr>
          <w:trHeight w:val="380"/>
        </w:trPr>
        <w:tc>
          <w:tcPr>
            <w:tcW w:w="3280" w:type="dxa"/>
          </w:tcPr>
          <w:p w:rsidR="00880768" w:rsidRDefault="00880768" w:rsidP="00880768"/>
        </w:tc>
        <w:tc>
          <w:tcPr>
            <w:tcW w:w="840" w:type="dxa"/>
          </w:tcPr>
          <w:p w:rsidR="00880768" w:rsidRDefault="00880768" w:rsidP="00880768">
            <w:r>
              <w:t>2016</w:t>
            </w:r>
          </w:p>
        </w:tc>
        <w:tc>
          <w:tcPr>
            <w:tcW w:w="1040" w:type="dxa"/>
          </w:tcPr>
          <w:p w:rsidR="00880768" w:rsidRDefault="00880768" w:rsidP="00880768">
            <w:r>
              <w:t>40</w:t>
            </w:r>
          </w:p>
        </w:tc>
        <w:tc>
          <w:tcPr>
            <w:tcW w:w="1060" w:type="dxa"/>
          </w:tcPr>
          <w:p w:rsidR="00880768" w:rsidRDefault="00880768" w:rsidP="00880768">
            <w:r>
              <w:t>60</w:t>
            </w:r>
          </w:p>
        </w:tc>
        <w:tc>
          <w:tcPr>
            <w:tcW w:w="1060" w:type="dxa"/>
          </w:tcPr>
          <w:p w:rsidR="00880768" w:rsidRDefault="00880768" w:rsidP="00880768">
            <w:r>
              <w:t>5</w:t>
            </w:r>
          </w:p>
        </w:tc>
        <w:tc>
          <w:tcPr>
            <w:tcW w:w="1120" w:type="dxa"/>
          </w:tcPr>
          <w:p w:rsidR="00880768" w:rsidRDefault="00880768" w:rsidP="00880768">
            <w:r>
              <w:t>37 485</w:t>
            </w:r>
          </w:p>
        </w:tc>
        <w:tc>
          <w:tcPr>
            <w:tcW w:w="1120" w:type="dxa"/>
          </w:tcPr>
          <w:p w:rsidR="00880768" w:rsidRDefault="00880768" w:rsidP="00880768">
            <w:r>
              <w:t>40 315</w:t>
            </w:r>
          </w:p>
        </w:tc>
      </w:tr>
      <w:tr w:rsidR="00880768" w:rsidTr="00880768">
        <w:trPr>
          <w:trHeight w:val="380"/>
        </w:trPr>
        <w:tc>
          <w:tcPr>
            <w:tcW w:w="3280" w:type="dxa"/>
          </w:tcPr>
          <w:p w:rsidR="00880768" w:rsidRDefault="00880768" w:rsidP="00880768">
            <w:r>
              <w:lastRenderedPageBreak/>
              <w:t>Rådgivar</w:t>
            </w:r>
          </w:p>
        </w:tc>
        <w:tc>
          <w:tcPr>
            <w:tcW w:w="840" w:type="dxa"/>
          </w:tcPr>
          <w:p w:rsidR="00880768" w:rsidRDefault="00880768" w:rsidP="00880768">
            <w:r>
              <w:t>2017</w:t>
            </w:r>
          </w:p>
        </w:tc>
        <w:tc>
          <w:tcPr>
            <w:tcW w:w="1040" w:type="dxa"/>
          </w:tcPr>
          <w:p w:rsidR="00880768" w:rsidRDefault="00880768" w:rsidP="00880768">
            <w:r>
              <w:t>35</w:t>
            </w:r>
          </w:p>
        </w:tc>
        <w:tc>
          <w:tcPr>
            <w:tcW w:w="1060" w:type="dxa"/>
          </w:tcPr>
          <w:p w:rsidR="00880768" w:rsidRDefault="00880768" w:rsidP="00880768">
            <w:r>
              <w:t>65</w:t>
            </w:r>
          </w:p>
        </w:tc>
        <w:tc>
          <w:tcPr>
            <w:tcW w:w="1060" w:type="dxa"/>
          </w:tcPr>
          <w:p w:rsidR="00880768" w:rsidRDefault="00880768" w:rsidP="00880768">
            <w:r>
              <w:t>17</w:t>
            </w:r>
          </w:p>
        </w:tc>
        <w:tc>
          <w:tcPr>
            <w:tcW w:w="1120" w:type="dxa"/>
          </w:tcPr>
          <w:p w:rsidR="00880768" w:rsidRDefault="00880768" w:rsidP="00880768">
            <w:r>
              <w:t>43 960</w:t>
            </w:r>
          </w:p>
        </w:tc>
        <w:tc>
          <w:tcPr>
            <w:tcW w:w="1120" w:type="dxa"/>
          </w:tcPr>
          <w:p w:rsidR="00880768" w:rsidRDefault="00880768" w:rsidP="00880768">
            <w:r>
              <w:t>44 252</w:t>
            </w:r>
          </w:p>
        </w:tc>
      </w:tr>
      <w:tr w:rsidR="00880768" w:rsidTr="00880768">
        <w:trPr>
          <w:trHeight w:val="380"/>
        </w:trPr>
        <w:tc>
          <w:tcPr>
            <w:tcW w:w="3280" w:type="dxa"/>
          </w:tcPr>
          <w:p w:rsidR="00880768" w:rsidRDefault="00880768" w:rsidP="00880768"/>
        </w:tc>
        <w:tc>
          <w:tcPr>
            <w:tcW w:w="840" w:type="dxa"/>
          </w:tcPr>
          <w:p w:rsidR="00880768" w:rsidRDefault="00880768" w:rsidP="00880768">
            <w:r>
              <w:t>2016</w:t>
            </w:r>
          </w:p>
        </w:tc>
        <w:tc>
          <w:tcPr>
            <w:tcW w:w="1040" w:type="dxa"/>
          </w:tcPr>
          <w:p w:rsidR="00880768" w:rsidRDefault="00880768" w:rsidP="00880768">
            <w:r>
              <w:t>33</w:t>
            </w:r>
          </w:p>
        </w:tc>
        <w:tc>
          <w:tcPr>
            <w:tcW w:w="1060" w:type="dxa"/>
          </w:tcPr>
          <w:p w:rsidR="00880768" w:rsidRDefault="00880768" w:rsidP="00880768">
            <w:r>
              <w:t>67</w:t>
            </w:r>
          </w:p>
        </w:tc>
        <w:tc>
          <w:tcPr>
            <w:tcW w:w="1060" w:type="dxa"/>
          </w:tcPr>
          <w:p w:rsidR="00880768" w:rsidRDefault="00880768" w:rsidP="00880768">
            <w:r>
              <w:t>18</w:t>
            </w:r>
          </w:p>
        </w:tc>
        <w:tc>
          <w:tcPr>
            <w:tcW w:w="1120" w:type="dxa"/>
          </w:tcPr>
          <w:p w:rsidR="00880768" w:rsidRDefault="00880768" w:rsidP="00880768">
            <w:r>
              <w:t>43 318</w:t>
            </w:r>
          </w:p>
        </w:tc>
        <w:tc>
          <w:tcPr>
            <w:tcW w:w="1120" w:type="dxa"/>
          </w:tcPr>
          <w:p w:rsidR="00880768" w:rsidRDefault="00880768" w:rsidP="00880768">
            <w:r>
              <w:t>44 090</w:t>
            </w:r>
          </w:p>
        </w:tc>
      </w:tr>
      <w:tr w:rsidR="00880768" w:rsidTr="00880768">
        <w:trPr>
          <w:trHeight w:val="380"/>
        </w:trPr>
        <w:tc>
          <w:tcPr>
            <w:tcW w:w="3280" w:type="dxa"/>
          </w:tcPr>
          <w:p w:rsidR="00880768" w:rsidRDefault="00880768" w:rsidP="00880768">
            <w:r>
              <w:t>Førstekonsulent – konsulent</w:t>
            </w:r>
          </w:p>
        </w:tc>
        <w:tc>
          <w:tcPr>
            <w:tcW w:w="840" w:type="dxa"/>
          </w:tcPr>
          <w:p w:rsidR="00880768" w:rsidRDefault="00880768" w:rsidP="00880768">
            <w:r>
              <w:t>2017</w:t>
            </w:r>
          </w:p>
        </w:tc>
        <w:tc>
          <w:tcPr>
            <w:tcW w:w="1040" w:type="dxa"/>
          </w:tcPr>
          <w:p w:rsidR="00880768" w:rsidRDefault="00880768" w:rsidP="00880768">
            <w:r>
              <w:t>25</w:t>
            </w:r>
          </w:p>
        </w:tc>
        <w:tc>
          <w:tcPr>
            <w:tcW w:w="1060" w:type="dxa"/>
          </w:tcPr>
          <w:p w:rsidR="00880768" w:rsidRDefault="00880768" w:rsidP="00880768">
            <w:r>
              <w:t>75</w:t>
            </w:r>
          </w:p>
        </w:tc>
        <w:tc>
          <w:tcPr>
            <w:tcW w:w="1060" w:type="dxa"/>
          </w:tcPr>
          <w:p w:rsidR="00880768" w:rsidRDefault="00880768" w:rsidP="00880768">
            <w:r>
              <w:t>8</w:t>
            </w:r>
          </w:p>
        </w:tc>
        <w:tc>
          <w:tcPr>
            <w:tcW w:w="1120" w:type="dxa"/>
          </w:tcPr>
          <w:p w:rsidR="00880768" w:rsidRDefault="00880768" w:rsidP="00880768">
            <w:r>
              <w:t>38 369</w:t>
            </w:r>
          </w:p>
        </w:tc>
        <w:tc>
          <w:tcPr>
            <w:tcW w:w="1120" w:type="dxa"/>
          </w:tcPr>
          <w:p w:rsidR="00880768" w:rsidRDefault="00880768" w:rsidP="00880768">
            <w:r>
              <w:t>38 617</w:t>
            </w:r>
          </w:p>
        </w:tc>
      </w:tr>
      <w:tr w:rsidR="00880768" w:rsidTr="00880768">
        <w:trPr>
          <w:trHeight w:val="380"/>
        </w:trPr>
        <w:tc>
          <w:tcPr>
            <w:tcW w:w="3280" w:type="dxa"/>
          </w:tcPr>
          <w:p w:rsidR="00880768" w:rsidRDefault="00880768" w:rsidP="00880768"/>
        </w:tc>
        <w:tc>
          <w:tcPr>
            <w:tcW w:w="840" w:type="dxa"/>
          </w:tcPr>
          <w:p w:rsidR="00880768" w:rsidRDefault="00880768" w:rsidP="00880768">
            <w:r>
              <w:t>2016</w:t>
            </w:r>
          </w:p>
        </w:tc>
        <w:tc>
          <w:tcPr>
            <w:tcW w:w="1040" w:type="dxa"/>
          </w:tcPr>
          <w:p w:rsidR="00880768" w:rsidRDefault="00880768" w:rsidP="00880768">
            <w:r>
              <w:t>33</w:t>
            </w:r>
          </w:p>
        </w:tc>
        <w:tc>
          <w:tcPr>
            <w:tcW w:w="1060" w:type="dxa"/>
          </w:tcPr>
          <w:p w:rsidR="00880768" w:rsidRDefault="00880768" w:rsidP="00880768">
            <w:r>
              <w:t>67</w:t>
            </w:r>
          </w:p>
        </w:tc>
        <w:tc>
          <w:tcPr>
            <w:tcW w:w="1060" w:type="dxa"/>
          </w:tcPr>
          <w:p w:rsidR="00880768" w:rsidRDefault="00880768" w:rsidP="00880768">
            <w:r>
              <w:t>12</w:t>
            </w:r>
          </w:p>
        </w:tc>
        <w:tc>
          <w:tcPr>
            <w:tcW w:w="1120" w:type="dxa"/>
          </w:tcPr>
          <w:p w:rsidR="00880768" w:rsidRDefault="00880768" w:rsidP="00880768">
            <w:r>
              <w:t>35 576</w:t>
            </w:r>
          </w:p>
        </w:tc>
        <w:tc>
          <w:tcPr>
            <w:tcW w:w="1120" w:type="dxa"/>
          </w:tcPr>
          <w:p w:rsidR="00880768" w:rsidRDefault="00880768" w:rsidP="00880768">
            <w:r>
              <w:t>36 269</w:t>
            </w:r>
          </w:p>
        </w:tc>
      </w:tr>
      <w:tr w:rsidR="00880768" w:rsidTr="00880768">
        <w:trPr>
          <w:trHeight w:val="380"/>
        </w:trPr>
        <w:tc>
          <w:tcPr>
            <w:tcW w:w="3280" w:type="dxa"/>
          </w:tcPr>
          <w:p w:rsidR="00880768" w:rsidRDefault="00880768" w:rsidP="00880768">
            <w:r>
              <w:t>Sjukefråværsstatistikk (leg</w:t>
            </w:r>
            <w:r>
              <w:t>e</w:t>
            </w:r>
            <w:r>
              <w:t>meldt)</w:t>
            </w:r>
          </w:p>
        </w:tc>
        <w:tc>
          <w:tcPr>
            <w:tcW w:w="840" w:type="dxa"/>
          </w:tcPr>
          <w:p w:rsidR="00880768" w:rsidRDefault="00880768" w:rsidP="00880768">
            <w:r>
              <w:t>2017</w:t>
            </w:r>
          </w:p>
        </w:tc>
        <w:tc>
          <w:tcPr>
            <w:tcW w:w="1040" w:type="dxa"/>
          </w:tcPr>
          <w:p w:rsidR="00880768" w:rsidRDefault="00880768" w:rsidP="00880768">
            <w:r>
              <w:t>1,0</w:t>
            </w:r>
          </w:p>
        </w:tc>
        <w:tc>
          <w:tcPr>
            <w:tcW w:w="1060" w:type="dxa"/>
          </w:tcPr>
          <w:p w:rsidR="00880768" w:rsidRDefault="00880768" w:rsidP="00880768">
            <w:r>
              <w:t>2,1</w:t>
            </w:r>
          </w:p>
        </w:tc>
        <w:tc>
          <w:tcPr>
            <w:tcW w:w="1060" w:type="dxa"/>
          </w:tcPr>
          <w:p w:rsidR="00880768" w:rsidRDefault="00880768" w:rsidP="00880768">
            <w:r>
              <w:t>1,5</w:t>
            </w:r>
          </w:p>
        </w:tc>
        <w:tc>
          <w:tcPr>
            <w:tcW w:w="1120" w:type="dxa"/>
          </w:tcPr>
          <w:p w:rsidR="00880768" w:rsidRDefault="00880768" w:rsidP="00880768"/>
        </w:tc>
        <w:tc>
          <w:tcPr>
            <w:tcW w:w="1120" w:type="dxa"/>
          </w:tcPr>
          <w:p w:rsidR="00880768" w:rsidRDefault="00880768" w:rsidP="00880768"/>
        </w:tc>
      </w:tr>
      <w:tr w:rsidR="00880768" w:rsidTr="00880768">
        <w:trPr>
          <w:trHeight w:val="380"/>
        </w:trPr>
        <w:tc>
          <w:tcPr>
            <w:tcW w:w="3280" w:type="dxa"/>
          </w:tcPr>
          <w:p w:rsidR="00880768" w:rsidRDefault="00880768" w:rsidP="00880768"/>
        </w:tc>
        <w:tc>
          <w:tcPr>
            <w:tcW w:w="840" w:type="dxa"/>
          </w:tcPr>
          <w:p w:rsidR="00880768" w:rsidRDefault="00880768" w:rsidP="00880768">
            <w:r>
              <w:t>2016</w:t>
            </w:r>
          </w:p>
        </w:tc>
        <w:tc>
          <w:tcPr>
            <w:tcW w:w="1040" w:type="dxa"/>
          </w:tcPr>
          <w:p w:rsidR="00880768" w:rsidRDefault="00880768" w:rsidP="00880768">
            <w:r>
              <w:t>1,7</w:t>
            </w:r>
          </w:p>
        </w:tc>
        <w:tc>
          <w:tcPr>
            <w:tcW w:w="1060" w:type="dxa"/>
          </w:tcPr>
          <w:p w:rsidR="00880768" w:rsidRDefault="00880768" w:rsidP="00880768">
            <w:r>
              <w:t>2,5</w:t>
            </w:r>
          </w:p>
        </w:tc>
        <w:tc>
          <w:tcPr>
            <w:tcW w:w="1060" w:type="dxa"/>
          </w:tcPr>
          <w:p w:rsidR="00880768" w:rsidRDefault="00880768" w:rsidP="00880768">
            <w:r>
              <w:t>2,1</w:t>
            </w:r>
          </w:p>
        </w:tc>
        <w:tc>
          <w:tcPr>
            <w:tcW w:w="1120" w:type="dxa"/>
          </w:tcPr>
          <w:p w:rsidR="00880768" w:rsidRDefault="00880768" w:rsidP="00880768"/>
        </w:tc>
        <w:tc>
          <w:tcPr>
            <w:tcW w:w="1120" w:type="dxa"/>
          </w:tcPr>
          <w:p w:rsidR="00880768" w:rsidRDefault="00880768" w:rsidP="00880768"/>
        </w:tc>
      </w:tr>
    </w:tbl>
    <w:p w:rsidR="00880768" w:rsidRDefault="00880768" w:rsidP="00B52901">
      <w:pPr>
        <w:pStyle w:val="tabell-noter"/>
      </w:pPr>
      <w:r>
        <w:t xml:space="preserve">Kategoriar med berre ein tilsett er ikkje med i oversikta. Det er ein tilsett på leiarlønskontrakt som ikkje er med i </w:t>
      </w:r>
      <w:proofErr w:type="gramStart"/>
      <w:r>
        <w:t>denne oversikta</w:t>
      </w:r>
      <w:proofErr w:type="gramEnd"/>
      <w:r>
        <w:t>.</w:t>
      </w:r>
    </w:p>
    <w:p w:rsidR="005B600F" w:rsidRPr="005B600F" w:rsidRDefault="005B600F" w:rsidP="0063539A">
      <w:pPr>
        <w:pStyle w:val="tabell-tittel"/>
      </w:pPr>
      <w:r>
        <w:rPr>
          <w:sz w:val="21"/>
          <w:szCs w:val="21"/>
        </w:rPr>
        <w:t>Tilstandsrapportering (kjønn) i Noregs vassdrags- og energidirektorat per 31. d</w:t>
      </w:r>
      <w:r>
        <w:rPr>
          <w:sz w:val="21"/>
          <w:szCs w:val="21"/>
        </w:rPr>
        <w:t>e</w:t>
      </w:r>
      <w:r>
        <w:rPr>
          <w:sz w:val="21"/>
          <w:szCs w:val="21"/>
        </w:rPr>
        <w:t>sember 2017 samanlikna med tal per 31. desember 2016</w:t>
      </w:r>
    </w:p>
    <w:p w:rsidR="00880768" w:rsidRDefault="00880768" w:rsidP="00880768">
      <w:pPr>
        <w:pStyle w:val="Tabellnavn"/>
      </w:pPr>
      <w:r>
        <w:t>07J3xt2</w:t>
      </w:r>
    </w:p>
    <w:tbl>
      <w:tblPr>
        <w:tblStyle w:val="StandardTabell"/>
        <w:tblW w:w="0" w:type="auto"/>
        <w:tblLayout w:type="fixed"/>
        <w:tblLook w:val="04A0" w:firstRow="1" w:lastRow="0" w:firstColumn="1" w:lastColumn="0" w:noHBand="0" w:noVBand="1"/>
      </w:tblPr>
      <w:tblGrid>
        <w:gridCol w:w="3320"/>
        <w:gridCol w:w="900"/>
        <w:gridCol w:w="1020"/>
        <w:gridCol w:w="1000"/>
        <w:gridCol w:w="1020"/>
        <w:gridCol w:w="1120"/>
        <w:gridCol w:w="1120"/>
      </w:tblGrid>
      <w:tr w:rsidR="00880768" w:rsidTr="00880768">
        <w:trPr>
          <w:trHeight w:val="340"/>
        </w:trPr>
        <w:tc>
          <w:tcPr>
            <w:tcW w:w="3320" w:type="dxa"/>
          </w:tcPr>
          <w:p w:rsidR="00880768" w:rsidRDefault="00880768" w:rsidP="00880768"/>
        </w:tc>
        <w:tc>
          <w:tcPr>
            <w:tcW w:w="900" w:type="dxa"/>
          </w:tcPr>
          <w:p w:rsidR="00880768" w:rsidRDefault="00880768" w:rsidP="00880768"/>
        </w:tc>
        <w:tc>
          <w:tcPr>
            <w:tcW w:w="3040" w:type="dxa"/>
            <w:gridSpan w:val="3"/>
          </w:tcPr>
          <w:p w:rsidR="00880768" w:rsidRDefault="00880768" w:rsidP="00880768">
            <w:r>
              <w:t>Kjønnsbalanse</w:t>
            </w:r>
          </w:p>
        </w:tc>
        <w:tc>
          <w:tcPr>
            <w:tcW w:w="2240" w:type="dxa"/>
            <w:gridSpan w:val="2"/>
          </w:tcPr>
          <w:p w:rsidR="00880768" w:rsidRDefault="00880768" w:rsidP="00880768">
            <w:r>
              <w:t>Månadslønn</w:t>
            </w:r>
          </w:p>
        </w:tc>
      </w:tr>
      <w:tr w:rsidR="00880768" w:rsidTr="00880768">
        <w:trPr>
          <w:trHeight w:val="340"/>
        </w:trPr>
        <w:tc>
          <w:tcPr>
            <w:tcW w:w="3320" w:type="dxa"/>
          </w:tcPr>
          <w:p w:rsidR="00880768" w:rsidRDefault="00880768" w:rsidP="00880768"/>
        </w:tc>
        <w:tc>
          <w:tcPr>
            <w:tcW w:w="900" w:type="dxa"/>
          </w:tcPr>
          <w:p w:rsidR="00880768" w:rsidRDefault="00880768" w:rsidP="00880768"/>
        </w:tc>
        <w:tc>
          <w:tcPr>
            <w:tcW w:w="1020" w:type="dxa"/>
          </w:tcPr>
          <w:p w:rsidR="00880768" w:rsidRDefault="00880768" w:rsidP="00880768">
            <w:r>
              <w:t>Menn</w:t>
            </w:r>
          </w:p>
        </w:tc>
        <w:tc>
          <w:tcPr>
            <w:tcW w:w="1000" w:type="dxa"/>
          </w:tcPr>
          <w:p w:rsidR="00880768" w:rsidRDefault="00880768" w:rsidP="00880768">
            <w:r>
              <w:t>Kvi</w:t>
            </w:r>
            <w:r>
              <w:t>n</w:t>
            </w:r>
            <w:r>
              <w:t>ner</w:t>
            </w:r>
          </w:p>
        </w:tc>
        <w:tc>
          <w:tcPr>
            <w:tcW w:w="1020" w:type="dxa"/>
          </w:tcPr>
          <w:p w:rsidR="00880768" w:rsidRDefault="00880768" w:rsidP="00880768">
            <w:r>
              <w:t>Total</w:t>
            </w:r>
          </w:p>
        </w:tc>
        <w:tc>
          <w:tcPr>
            <w:tcW w:w="1120" w:type="dxa"/>
          </w:tcPr>
          <w:p w:rsidR="00880768" w:rsidRDefault="00880768" w:rsidP="00880768">
            <w:r>
              <w:t>Menn</w:t>
            </w:r>
          </w:p>
        </w:tc>
        <w:tc>
          <w:tcPr>
            <w:tcW w:w="1120" w:type="dxa"/>
          </w:tcPr>
          <w:p w:rsidR="00880768" w:rsidRDefault="00880768" w:rsidP="00880768">
            <w:r>
              <w:t>Kvinner</w:t>
            </w:r>
          </w:p>
        </w:tc>
      </w:tr>
      <w:tr w:rsidR="00880768" w:rsidTr="00880768">
        <w:trPr>
          <w:trHeight w:val="340"/>
        </w:trPr>
        <w:tc>
          <w:tcPr>
            <w:tcW w:w="3320" w:type="dxa"/>
          </w:tcPr>
          <w:p w:rsidR="00880768" w:rsidRDefault="00880768" w:rsidP="00880768"/>
        </w:tc>
        <w:tc>
          <w:tcPr>
            <w:tcW w:w="900" w:type="dxa"/>
          </w:tcPr>
          <w:p w:rsidR="00880768" w:rsidRDefault="00880768" w:rsidP="00880768"/>
        </w:tc>
        <w:tc>
          <w:tcPr>
            <w:tcW w:w="1020" w:type="dxa"/>
          </w:tcPr>
          <w:p w:rsidR="00880768" w:rsidRDefault="00880768" w:rsidP="00880768">
            <w:r>
              <w:t>Prosent</w:t>
            </w:r>
          </w:p>
        </w:tc>
        <w:tc>
          <w:tcPr>
            <w:tcW w:w="1000" w:type="dxa"/>
          </w:tcPr>
          <w:p w:rsidR="00880768" w:rsidRDefault="00880768" w:rsidP="00880768">
            <w:r>
              <w:t>Prosent</w:t>
            </w:r>
          </w:p>
        </w:tc>
        <w:tc>
          <w:tcPr>
            <w:tcW w:w="1020" w:type="dxa"/>
          </w:tcPr>
          <w:p w:rsidR="00880768" w:rsidRDefault="00880768" w:rsidP="00880768">
            <w:r>
              <w:t>(N)</w:t>
            </w:r>
          </w:p>
        </w:tc>
        <w:tc>
          <w:tcPr>
            <w:tcW w:w="1120" w:type="dxa"/>
          </w:tcPr>
          <w:p w:rsidR="00880768" w:rsidRDefault="00880768" w:rsidP="00880768">
            <w:r>
              <w:t>Kroner</w:t>
            </w:r>
          </w:p>
        </w:tc>
        <w:tc>
          <w:tcPr>
            <w:tcW w:w="1120" w:type="dxa"/>
          </w:tcPr>
          <w:p w:rsidR="00880768" w:rsidRDefault="00880768" w:rsidP="00880768">
            <w:r>
              <w:t>Kroner</w:t>
            </w:r>
          </w:p>
        </w:tc>
      </w:tr>
      <w:tr w:rsidR="00880768" w:rsidTr="00880768">
        <w:trPr>
          <w:trHeight w:val="360"/>
        </w:trPr>
        <w:tc>
          <w:tcPr>
            <w:tcW w:w="3320" w:type="dxa"/>
          </w:tcPr>
          <w:p w:rsidR="00880768" w:rsidRDefault="00880768" w:rsidP="00880768">
            <w:r>
              <w:t>Totalt i NVE</w:t>
            </w:r>
          </w:p>
        </w:tc>
        <w:tc>
          <w:tcPr>
            <w:tcW w:w="900" w:type="dxa"/>
          </w:tcPr>
          <w:p w:rsidR="00880768" w:rsidRDefault="00880768" w:rsidP="00880768">
            <w:r>
              <w:t>2017</w:t>
            </w:r>
          </w:p>
        </w:tc>
        <w:tc>
          <w:tcPr>
            <w:tcW w:w="1020" w:type="dxa"/>
          </w:tcPr>
          <w:p w:rsidR="00880768" w:rsidRDefault="00880768" w:rsidP="00880768">
            <w:r>
              <w:t>56</w:t>
            </w:r>
          </w:p>
        </w:tc>
        <w:tc>
          <w:tcPr>
            <w:tcW w:w="1000" w:type="dxa"/>
          </w:tcPr>
          <w:p w:rsidR="00880768" w:rsidRDefault="00880768" w:rsidP="00880768">
            <w:r>
              <w:t>44</w:t>
            </w:r>
          </w:p>
        </w:tc>
        <w:tc>
          <w:tcPr>
            <w:tcW w:w="1020" w:type="dxa"/>
          </w:tcPr>
          <w:p w:rsidR="00880768" w:rsidRDefault="00880768" w:rsidP="00880768">
            <w:r>
              <w:t>601</w:t>
            </w:r>
          </w:p>
        </w:tc>
        <w:tc>
          <w:tcPr>
            <w:tcW w:w="1120" w:type="dxa"/>
          </w:tcPr>
          <w:p w:rsidR="00880768" w:rsidRDefault="00880768" w:rsidP="00880768">
            <w:r>
              <w:t>53 714</w:t>
            </w:r>
          </w:p>
        </w:tc>
        <w:tc>
          <w:tcPr>
            <w:tcW w:w="1120" w:type="dxa"/>
          </w:tcPr>
          <w:p w:rsidR="00880768" w:rsidRDefault="00880768" w:rsidP="00880768">
            <w:r>
              <w:t>50 695</w:t>
            </w:r>
          </w:p>
        </w:tc>
      </w:tr>
      <w:tr w:rsidR="00880768" w:rsidTr="00880768">
        <w:trPr>
          <w:trHeight w:val="360"/>
        </w:trPr>
        <w:tc>
          <w:tcPr>
            <w:tcW w:w="3320" w:type="dxa"/>
          </w:tcPr>
          <w:p w:rsidR="00880768" w:rsidRDefault="00880768" w:rsidP="00880768"/>
        </w:tc>
        <w:tc>
          <w:tcPr>
            <w:tcW w:w="900" w:type="dxa"/>
          </w:tcPr>
          <w:p w:rsidR="00880768" w:rsidRDefault="00880768" w:rsidP="00880768">
            <w:r>
              <w:t>2016</w:t>
            </w:r>
          </w:p>
        </w:tc>
        <w:tc>
          <w:tcPr>
            <w:tcW w:w="1020" w:type="dxa"/>
          </w:tcPr>
          <w:p w:rsidR="00880768" w:rsidRDefault="00880768" w:rsidP="00880768">
            <w:r>
              <w:t>58</w:t>
            </w:r>
          </w:p>
        </w:tc>
        <w:tc>
          <w:tcPr>
            <w:tcW w:w="1000" w:type="dxa"/>
          </w:tcPr>
          <w:p w:rsidR="00880768" w:rsidRDefault="00880768" w:rsidP="00880768">
            <w:r>
              <w:t>42</w:t>
            </w:r>
          </w:p>
        </w:tc>
        <w:tc>
          <w:tcPr>
            <w:tcW w:w="1020" w:type="dxa"/>
          </w:tcPr>
          <w:p w:rsidR="00880768" w:rsidRDefault="00880768" w:rsidP="00880768">
            <w:r>
              <w:t>601</w:t>
            </w:r>
          </w:p>
        </w:tc>
        <w:tc>
          <w:tcPr>
            <w:tcW w:w="1120" w:type="dxa"/>
          </w:tcPr>
          <w:p w:rsidR="00880768" w:rsidRDefault="00880768" w:rsidP="00880768">
            <w:r>
              <w:t>53 022</w:t>
            </w:r>
          </w:p>
        </w:tc>
        <w:tc>
          <w:tcPr>
            <w:tcW w:w="1120" w:type="dxa"/>
          </w:tcPr>
          <w:p w:rsidR="00880768" w:rsidRDefault="00880768" w:rsidP="00880768">
            <w:r>
              <w:t>50 184</w:t>
            </w:r>
          </w:p>
        </w:tc>
      </w:tr>
      <w:tr w:rsidR="00880768" w:rsidTr="00880768">
        <w:trPr>
          <w:trHeight w:val="360"/>
        </w:trPr>
        <w:tc>
          <w:tcPr>
            <w:tcW w:w="3320" w:type="dxa"/>
          </w:tcPr>
          <w:p w:rsidR="00880768" w:rsidRDefault="00880768" w:rsidP="00880768">
            <w:r>
              <w:t>Avdelingsdirektør</w:t>
            </w:r>
          </w:p>
        </w:tc>
        <w:tc>
          <w:tcPr>
            <w:tcW w:w="900" w:type="dxa"/>
          </w:tcPr>
          <w:p w:rsidR="00880768" w:rsidRDefault="00880768" w:rsidP="00880768">
            <w:r>
              <w:t>2017</w:t>
            </w:r>
          </w:p>
        </w:tc>
        <w:tc>
          <w:tcPr>
            <w:tcW w:w="1020" w:type="dxa"/>
          </w:tcPr>
          <w:p w:rsidR="00880768" w:rsidRDefault="00880768" w:rsidP="00880768">
            <w:r>
              <w:t>50</w:t>
            </w:r>
          </w:p>
        </w:tc>
        <w:tc>
          <w:tcPr>
            <w:tcW w:w="1000" w:type="dxa"/>
          </w:tcPr>
          <w:p w:rsidR="00880768" w:rsidRDefault="00880768" w:rsidP="00880768">
            <w:r>
              <w:t>50</w:t>
            </w:r>
          </w:p>
        </w:tc>
        <w:tc>
          <w:tcPr>
            <w:tcW w:w="1020" w:type="dxa"/>
          </w:tcPr>
          <w:p w:rsidR="00880768" w:rsidRDefault="00880768" w:rsidP="00880768">
            <w:r>
              <w:t>6</w:t>
            </w:r>
          </w:p>
        </w:tc>
        <w:tc>
          <w:tcPr>
            <w:tcW w:w="1120" w:type="dxa"/>
          </w:tcPr>
          <w:p w:rsidR="00880768" w:rsidRDefault="00880768" w:rsidP="00880768">
            <w:r>
              <w:t>101 036</w:t>
            </w:r>
          </w:p>
        </w:tc>
        <w:tc>
          <w:tcPr>
            <w:tcW w:w="1120" w:type="dxa"/>
          </w:tcPr>
          <w:p w:rsidR="00880768" w:rsidRDefault="00880768" w:rsidP="00880768">
            <w:r>
              <w:t>100 522</w:t>
            </w:r>
          </w:p>
        </w:tc>
      </w:tr>
      <w:tr w:rsidR="00880768" w:rsidTr="00880768">
        <w:trPr>
          <w:trHeight w:val="360"/>
        </w:trPr>
        <w:tc>
          <w:tcPr>
            <w:tcW w:w="3320" w:type="dxa"/>
          </w:tcPr>
          <w:p w:rsidR="00880768" w:rsidRDefault="00880768" w:rsidP="00880768"/>
        </w:tc>
        <w:tc>
          <w:tcPr>
            <w:tcW w:w="900" w:type="dxa"/>
          </w:tcPr>
          <w:p w:rsidR="00880768" w:rsidRDefault="00880768" w:rsidP="00880768">
            <w:r>
              <w:t>2016</w:t>
            </w:r>
          </w:p>
        </w:tc>
        <w:tc>
          <w:tcPr>
            <w:tcW w:w="1020" w:type="dxa"/>
          </w:tcPr>
          <w:p w:rsidR="00880768" w:rsidRDefault="00880768" w:rsidP="00880768">
            <w:r>
              <w:t>43</w:t>
            </w:r>
          </w:p>
        </w:tc>
        <w:tc>
          <w:tcPr>
            <w:tcW w:w="1000" w:type="dxa"/>
          </w:tcPr>
          <w:p w:rsidR="00880768" w:rsidRDefault="00880768" w:rsidP="00880768">
            <w:r>
              <w:t>57</w:t>
            </w:r>
          </w:p>
        </w:tc>
        <w:tc>
          <w:tcPr>
            <w:tcW w:w="1020" w:type="dxa"/>
          </w:tcPr>
          <w:p w:rsidR="00880768" w:rsidRDefault="00880768" w:rsidP="00880768">
            <w:r>
              <w:t>7</w:t>
            </w:r>
          </w:p>
        </w:tc>
        <w:tc>
          <w:tcPr>
            <w:tcW w:w="1120" w:type="dxa"/>
          </w:tcPr>
          <w:p w:rsidR="00880768" w:rsidRDefault="00880768" w:rsidP="00880768">
            <w:r>
              <w:t>99 564</w:t>
            </w:r>
          </w:p>
        </w:tc>
        <w:tc>
          <w:tcPr>
            <w:tcW w:w="1120" w:type="dxa"/>
          </w:tcPr>
          <w:p w:rsidR="00880768" w:rsidRDefault="00880768" w:rsidP="00880768">
            <w:r>
              <w:t>99 190</w:t>
            </w:r>
          </w:p>
        </w:tc>
      </w:tr>
      <w:tr w:rsidR="00880768" w:rsidTr="00880768">
        <w:trPr>
          <w:trHeight w:val="360"/>
        </w:trPr>
        <w:tc>
          <w:tcPr>
            <w:tcW w:w="3320" w:type="dxa"/>
          </w:tcPr>
          <w:p w:rsidR="00880768" w:rsidRDefault="00880768" w:rsidP="00880768">
            <w:r>
              <w:t>Seksjonssjef</w:t>
            </w:r>
          </w:p>
        </w:tc>
        <w:tc>
          <w:tcPr>
            <w:tcW w:w="900" w:type="dxa"/>
          </w:tcPr>
          <w:p w:rsidR="00880768" w:rsidRDefault="00880768" w:rsidP="00880768">
            <w:r>
              <w:t>2017</w:t>
            </w:r>
          </w:p>
        </w:tc>
        <w:tc>
          <w:tcPr>
            <w:tcW w:w="1020" w:type="dxa"/>
          </w:tcPr>
          <w:p w:rsidR="00880768" w:rsidRDefault="00880768" w:rsidP="00880768">
            <w:r>
              <w:t>58</w:t>
            </w:r>
          </w:p>
        </w:tc>
        <w:tc>
          <w:tcPr>
            <w:tcW w:w="1000" w:type="dxa"/>
          </w:tcPr>
          <w:p w:rsidR="00880768" w:rsidRDefault="00880768" w:rsidP="00880768">
            <w:r>
              <w:t>42</w:t>
            </w:r>
          </w:p>
        </w:tc>
        <w:tc>
          <w:tcPr>
            <w:tcW w:w="1020" w:type="dxa"/>
          </w:tcPr>
          <w:p w:rsidR="00880768" w:rsidRDefault="00880768" w:rsidP="00880768">
            <w:r>
              <w:t>36</w:t>
            </w:r>
          </w:p>
        </w:tc>
        <w:tc>
          <w:tcPr>
            <w:tcW w:w="1120" w:type="dxa"/>
          </w:tcPr>
          <w:p w:rsidR="00880768" w:rsidRDefault="00880768" w:rsidP="00880768">
            <w:r>
              <w:t>73 684</w:t>
            </w:r>
          </w:p>
        </w:tc>
        <w:tc>
          <w:tcPr>
            <w:tcW w:w="1120" w:type="dxa"/>
          </w:tcPr>
          <w:p w:rsidR="00880768" w:rsidRDefault="00880768" w:rsidP="00880768">
            <w:r>
              <w:t>72 923</w:t>
            </w:r>
          </w:p>
        </w:tc>
      </w:tr>
      <w:tr w:rsidR="00880768" w:rsidTr="00880768">
        <w:trPr>
          <w:trHeight w:val="360"/>
        </w:trPr>
        <w:tc>
          <w:tcPr>
            <w:tcW w:w="3320" w:type="dxa"/>
          </w:tcPr>
          <w:p w:rsidR="00880768" w:rsidRDefault="00880768" w:rsidP="00880768"/>
        </w:tc>
        <w:tc>
          <w:tcPr>
            <w:tcW w:w="900" w:type="dxa"/>
          </w:tcPr>
          <w:p w:rsidR="00880768" w:rsidRDefault="00880768" w:rsidP="00880768">
            <w:r>
              <w:t>2016</w:t>
            </w:r>
          </w:p>
        </w:tc>
        <w:tc>
          <w:tcPr>
            <w:tcW w:w="1020" w:type="dxa"/>
          </w:tcPr>
          <w:p w:rsidR="00880768" w:rsidRDefault="00880768" w:rsidP="00880768">
            <w:r>
              <w:t>62</w:t>
            </w:r>
          </w:p>
        </w:tc>
        <w:tc>
          <w:tcPr>
            <w:tcW w:w="1000" w:type="dxa"/>
          </w:tcPr>
          <w:p w:rsidR="00880768" w:rsidRDefault="00880768" w:rsidP="00880768">
            <w:r>
              <w:t>38</w:t>
            </w:r>
          </w:p>
        </w:tc>
        <w:tc>
          <w:tcPr>
            <w:tcW w:w="1020" w:type="dxa"/>
          </w:tcPr>
          <w:p w:rsidR="00880768" w:rsidRDefault="00880768" w:rsidP="00880768">
            <w:r>
              <w:t>37</w:t>
            </w:r>
          </w:p>
        </w:tc>
        <w:tc>
          <w:tcPr>
            <w:tcW w:w="1120" w:type="dxa"/>
          </w:tcPr>
          <w:p w:rsidR="00880768" w:rsidRDefault="00880768" w:rsidP="00880768">
            <w:r>
              <w:t>71 803</w:t>
            </w:r>
          </w:p>
        </w:tc>
        <w:tc>
          <w:tcPr>
            <w:tcW w:w="1120" w:type="dxa"/>
          </w:tcPr>
          <w:p w:rsidR="00880768" w:rsidRDefault="00880768" w:rsidP="00880768">
            <w:r>
              <w:t>70 989</w:t>
            </w:r>
          </w:p>
        </w:tc>
      </w:tr>
      <w:tr w:rsidR="00880768" w:rsidTr="00880768">
        <w:trPr>
          <w:trHeight w:val="360"/>
        </w:trPr>
        <w:tc>
          <w:tcPr>
            <w:tcW w:w="3320" w:type="dxa"/>
          </w:tcPr>
          <w:p w:rsidR="00880768" w:rsidRDefault="00880768" w:rsidP="00880768">
            <w:r>
              <w:t>Sjefingeniør</w:t>
            </w:r>
          </w:p>
        </w:tc>
        <w:tc>
          <w:tcPr>
            <w:tcW w:w="900" w:type="dxa"/>
          </w:tcPr>
          <w:p w:rsidR="00880768" w:rsidRDefault="00880768" w:rsidP="00880768">
            <w:r>
              <w:t>2017</w:t>
            </w:r>
          </w:p>
        </w:tc>
        <w:tc>
          <w:tcPr>
            <w:tcW w:w="1020" w:type="dxa"/>
          </w:tcPr>
          <w:p w:rsidR="00880768" w:rsidRDefault="00880768" w:rsidP="00880768">
            <w:r>
              <w:t>76</w:t>
            </w:r>
          </w:p>
        </w:tc>
        <w:tc>
          <w:tcPr>
            <w:tcW w:w="1000" w:type="dxa"/>
          </w:tcPr>
          <w:p w:rsidR="00880768" w:rsidRDefault="00880768" w:rsidP="00880768">
            <w:r>
              <w:t>24</w:t>
            </w:r>
          </w:p>
        </w:tc>
        <w:tc>
          <w:tcPr>
            <w:tcW w:w="1020" w:type="dxa"/>
          </w:tcPr>
          <w:p w:rsidR="00880768" w:rsidRDefault="00880768" w:rsidP="00880768">
            <w:r>
              <w:t>25</w:t>
            </w:r>
          </w:p>
        </w:tc>
        <w:tc>
          <w:tcPr>
            <w:tcW w:w="1120" w:type="dxa"/>
          </w:tcPr>
          <w:p w:rsidR="00880768" w:rsidRDefault="00880768" w:rsidP="00880768">
            <w:r>
              <w:t>66 069</w:t>
            </w:r>
          </w:p>
        </w:tc>
        <w:tc>
          <w:tcPr>
            <w:tcW w:w="1120" w:type="dxa"/>
          </w:tcPr>
          <w:p w:rsidR="00880768" w:rsidRDefault="00880768" w:rsidP="00880768">
            <w:r>
              <w:t>69 184</w:t>
            </w:r>
          </w:p>
        </w:tc>
      </w:tr>
      <w:tr w:rsidR="00880768" w:rsidTr="00880768">
        <w:trPr>
          <w:trHeight w:val="360"/>
        </w:trPr>
        <w:tc>
          <w:tcPr>
            <w:tcW w:w="3320" w:type="dxa"/>
          </w:tcPr>
          <w:p w:rsidR="00880768" w:rsidRDefault="00880768" w:rsidP="00880768"/>
        </w:tc>
        <w:tc>
          <w:tcPr>
            <w:tcW w:w="900" w:type="dxa"/>
          </w:tcPr>
          <w:p w:rsidR="00880768" w:rsidRDefault="00880768" w:rsidP="00880768">
            <w:r>
              <w:t>2016</w:t>
            </w:r>
          </w:p>
        </w:tc>
        <w:tc>
          <w:tcPr>
            <w:tcW w:w="1020" w:type="dxa"/>
          </w:tcPr>
          <w:p w:rsidR="00880768" w:rsidRDefault="00880768" w:rsidP="00880768">
            <w:r>
              <w:t>79</w:t>
            </w:r>
          </w:p>
        </w:tc>
        <w:tc>
          <w:tcPr>
            <w:tcW w:w="1000" w:type="dxa"/>
          </w:tcPr>
          <w:p w:rsidR="00880768" w:rsidRDefault="00880768" w:rsidP="00880768">
            <w:r>
              <w:t>21</w:t>
            </w:r>
          </w:p>
        </w:tc>
        <w:tc>
          <w:tcPr>
            <w:tcW w:w="1020" w:type="dxa"/>
          </w:tcPr>
          <w:p w:rsidR="00880768" w:rsidRDefault="00880768" w:rsidP="00880768">
            <w:r>
              <w:t>28</w:t>
            </w:r>
          </w:p>
        </w:tc>
        <w:tc>
          <w:tcPr>
            <w:tcW w:w="1120" w:type="dxa"/>
          </w:tcPr>
          <w:p w:rsidR="00880768" w:rsidRDefault="00880768" w:rsidP="00880768">
            <w:r>
              <w:t>65 473</w:t>
            </w:r>
          </w:p>
        </w:tc>
        <w:tc>
          <w:tcPr>
            <w:tcW w:w="1120" w:type="dxa"/>
          </w:tcPr>
          <w:p w:rsidR="00880768" w:rsidRDefault="00880768" w:rsidP="00880768">
            <w:r>
              <w:t>68 065</w:t>
            </w:r>
          </w:p>
        </w:tc>
      </w:tr>
      <w:tr w:rsidR="00880768" w:rsidTr="00880768">
        <w:trPr>
          <w:trHeight w:val="360"/>
        </w:trPr>
        <w:tc>
          <w:tcPr>
            <w:tcW w:w="3320" w:type="dxa"/>
          </w:tcPr>
          <w:p w:rsidR="00880768" w:rsidRDefault="00880768" w:rsidP="00880768">
            <w:r>
              <w:t xml:space="preserve">Forskar </w:t>
            </w:r>
          </w:p>
        </w:tc>
        <w:tc>
          <w:tcPr>
            <w:tcW w:w="900" w:type="dxa"/>
          </w:tcPr>
          <w:p w:rsidR="00880768" w:rsidRDefault="00880768" w:rsidP="00880768">
            <w:r>
              <w:t>2017</w:t>
            </w:r>
          </w:p>
        </w:tc>
        <w:tc>
          <w:tcPr>
            <w:tcW w:w="1020" w:type="dxa"/>
          </w:tcPr>
          <w:p w:rsidR="00880768" w:rsidRDefault="00880768" w:rsidP="00880768">
            <w:r>
              <w:t>61</w:t>
            </w:r>
          </w:p>
        </w:tc>
        <w:tc>
          <w:tcPr>
            <w:tcW w:w="1000" w:type="dxa"/>
          </w:tcPr>
          <w:p w:rsidR="00880768" w:rsidRDefault="00880768" w:rsidP="00880768">
            <w:r>
              <w:t>39</w:t>
            </w:r>
          </w:p>
        </w:tc>
        <w:tc>
          <w:tcPr>
            <w:tcW w:w="1020" w:type="dxa"/>
          </w:tcPr>
          <w:p w:rsidR="00880768" w:rsidRDefault="00880768" w:rsidP="00880768">
            <w:r>
              <w:t>18</w:t>
            </w:r>
          </w:p>
        </w:tc>
        <w:tc>
          <w:tcPr>
            <w:tcW w:w="1120" w:type="dxa"/>
          </w:tcPr>
          <w:p w:rsidR="00880768" w:rsidRDefault="00880768" w:rsidP="00880768">
            <w:r>
              <w:t>57 717</w:t>
            </w:r>
          </w:p>
        </w:tc>
        <w:tc>
          <w:tcPr>
            <w:tcW w:w="1120" w:type="dxa"/>
          </w:tcPr>
          <w:p w:rsidR="00880768" w:rsidRDefault="00880768" w:rsidP="00880768">
            <w:r>
              <w:t>53 254</w:t>
            </w:r>
          </w:p>
        </w:tc>
      </w:tr>
      <w:tr w:rsidR="00880768" w:rsidTr="00880768">
        <w:trPr>
          <w:trHeight w:val="360"/>
        </w:trPr>
        <w:tc>
          <w:tcPr>
            <w:tcW w:w="3320" w:type="dxa"/>
          </w:tcPr>
          <w:p w:rsidR="00880768" w:rsidRDefault="00880768" w:rsidP="00880768"/>
        </w:tc>
        <w:tc>
          <w:tcPr>
            <w:tcW w:w="900" w:type="dxa"/>
          </w:tcPr>
          <w:p w:rsidR="00880768" w:rsidRDefault="00880768" w:rsidP="00880768">
            <w:r>
              <w:t>2016</w:t>
            </w:r>
          </w:p>
        </w:tc>
        <w:tc>
          <w:tcPr>
            <w:tcW w:w="1020" w:type="dxa"/>
          </w:tcPr>
          <w:p w:rsidR="00880768" w:rsidRDefault="00880768" w:rsidP="00880768">
            <w:r>
              <w:t>61</w:t>
            </w:r>
          </w:p>
        </w:tc>
        <w:tc>
          <w:tcPr>
            <w:tcW w:w="1000" w:type="dxa"/>
          </w:tcPr>
          <w:p w:rsidR="00880768" w:rsidRDefault="00880768" w:rsidP="00880768">
            <w:r>
              <w:t>39</w:t>
            </w:r>
          </w:p>
        </w:tc>
        <w:tc>
          <w:tcPr>
            <w:tcW w:w="1020" w:type="dxa"/>
          </w:tcPr>
          <w:p w:rsidR="00880768" w:rsidRDefault="00880768" w:rsidP="00880768">
            <w:r>
              <w:t>18</w:t>
            </w:r>
          </w:p>
        </w:tc>
        <w:tc>
          <w:tcPr>
            <w:tcW w:w="1120" w:type="dxa"/>
          </w:tcPr>
          <w:p w:rsidR="00880768" w:rsidRDefault="00880768" w:rsidP="00880768">
            <w:r>
              <w:t>57 166</w:t>
            </w:r>
          </w:p>
        </w:tc>
        <w:tc>
          <w:tcPr>
            <w:tcW w:w="1120" w:type="dxa"/>
          </w:tcPr>
          <w:p w:rsidR="00880768" w:rsidRDefault="00880768" w:rsidP="00880768">
            <w:r>
              <w:t>51 333</w:t>
            </w:r>
          </w:p>
        </w:tc>
      </w:tr>
      <w:tr w:rsidR="00880768" w:rsidTr="00880768">
        <w:trPr>
          <w:trHeight w:val="360"/>
        </w:trPr>
        <w:tc>
          <w:tcPr>
            <w:tcW w:w="3320" w:type="dxa"/>
          </w:tcPr>
          <w:p w:rsidR="00880768" w:rsidRDefault="00880768" w:rsidP="00880768">
            <w:r>
              <w:t>Senioringeniør</w:t>
            </w:r>
          </w:p>
        </w:tc>
        <w:tc>
          <w:tcPr>
            <w:tcW w:w="900" w:type="dxa"/>
          </w:tcPr>
          <w:p w:rsidR="00880768" w:rsidRDefault="00880768" w:rsidP="00880768">
            <w:r>
              <w:t>2017</w:t>
            </w:r>
          </w:p>
        </w:tc>
        <w:tc>
          <w:tcPr>
            <w:tcW w:w="1020" w:type="dxa"/>
          </w:tcPr>
          <w:p w:rsidR="00880768" w:rsidRDefault="00880768" w:rsidP="00880768">
            <w:r>
              <w:t>66</w:t>
            </w:r>
          </w:p>
        </w:tc>
        <w:tc>
          <w:tcPr>
            <w:tcW w:w="1000" w:type="dxa"/>
          </w:tcPr>
          <w:p w:rsidR="00880768" w:rsidRDefault="00880768" w:rsidP="00880768">
            <w:r>
              <w:t>34</w:t>
            </w:r>
          </w:p>
        </w:tc>
        <w:tc>
          <w:tcPr>
            <w:tcW w:w="1020" w:type="dxa"/>
          </w:tcPr>
          <w:p w:rsidR="00880768" w:rsidRDefault="00880768" w:rsidP="00880768">
            <w:r>
              <w:t>162</w:t>
            </w:r>
          </w:p>
        </w:tc>
        <w:tc>
          <w:tcPr>
            <w:tcW w:w="1120" w:type="dxa"/>
          </w:tcPr>
          <w:p w:rsidR="00880768" w:rsidRDefault="00880768" w:rsidP="00880768">
            <w:r>
              <w:t>55 009</w:t>
            </w:r>
          </w:p>
        </w:tc>
        <w:tc>
          <w:tcPr>
            <w:tcW w:w="1120" w:type="dxa"/>
          </w:tcPr>
          <w:p w:rsidR="00880768" w:rsidRDefault="00880768" w:rsidP="00880768">
            <w:r>
              <w:t>52 794</w:t>
            </w:r>
          </w:p>
        </w:tc>
      </w:tr>
      <w:tr w:rsidR="00880768" w:rsidTr="00880768">
        <w:trPr>
          <w:trHeight w:val="360"/>
        </w:trPr>
        <w:tc>
          <w:tcPr>
            <w:tcW w:w="3320" w:type="dxa"/>
          </w:tcPr>
          <w:p w:rsidR="00880768" w:rsidRDefault="00880768" w:rsidP="00880768"/>
        </w:tc>
        <w:tc>
          <w:tcPr>
            <w:tcW w:w="900" w:type="dxa"/>
          </w:tcPr>
          <w:p w:rsidR="00880768" w:rsidRDefault="00880768" w:rsidP="00880768">
            <w:r>
              <w:t>2016</w:t>
            </w:r>
          </w:p>
        </w:tc>
        <w:tc>
          <w:tcPr>
            <w:tcW w:w="1020" w:type="dxa"/>
          </w:tcPr>
          <w:p w:rsidR="00880768" w:rsidRDefault="00880768" w:rsidP="00880768">
            <w:r>
              <w:t>69</w:t>
            </w:r>
          </w:p>
        </w:tc>
        <w:tc>
          <w:tcPr>
            <w:tcW w:w="1000" w:type="dxa"/>
          </w:tcPr>
          <w:p w:rsidR="00880768" w:rsidRDefault="00880768" w:rsidP="00880768">
            <w:r>
              <w:t>31</w:t>
            </w:r>
          </w:p>
        </w:tc>
        <w:tc>
          <w:tcPr>
            <w:tcW w:w="1020" w:type="dxa"/>
          </w:tcPr>
          <w:p w:rsidR="00880768" w:rsidRDefault="00880768" w:rsidP="00880768">
            <w:r>
              <w:t>153</w:t>
            </w:r>
          </w:p>
        </w:tc>
        <w:tc>
          <w:tcPr>
            <w:tcW w:w="1120" w:type="dxa"/>
          </w:tcPr>
          <w:p w:rsidR="00880768" w:rsidRDefault="00880768" w:rsidP="00880768">
            <w:r>
              <w:t>54 275</w:t>
            </w:r>
          </w:p>
        </w:tc>
        <w:tc>
          <w:tcPr>
            <w:tcW w:w="1120" w:type="dxa"/>
          </w:tcPr>
          <w:p w:rsidR="00880768" w:rsidRDefault="00880768" w:rsidP="00880768">
            <w:r>
              <w:t>52 721</w:t>
            </w:r>
          </w:p>
        </w:tc>
      </w:tr>
      <w:tr w:rsidR="00880768" w:rsidTr="00880768">
        <w:trPr>
          <w:trHeight w:val="360"/>
        </w:trPr>
        <w:tc>
          <w:tcPr>
            <w:tcW w:w="3320" w:type="dxa"/>
          </w:tcPr>
          <w:p w:rsidR="00880768" w:rsidRDefault="00880768" w:rsidP="00880768">
            <w:r>
              <w:t>Seniorrådgivar</w:t>
            </w:r>
          </w:p>
        </w:tc>
        <w:tc>
          <w:tcPr>
            <w:tcW w:w="900" w:type="dxa"/>
          </w:tcPr>
          <w:p w:rsidR="00880768" w:rsidRDefault="00880768" w:rsidP="00880768">
            <w:r>
              <w:t>2017</w:t>
            </w:r>
          </w:p>
        </w:tc>
        <w:tc>
          <w:tcPr>
            <w:tcW w:w="1020" w:type="dxa"/>
          </w:tcPr>
          <w:p w:rsidR="00880768" w:rsidRDefault="00880768" w:rsidP="00880768">
            <w:r>
              <w:t>56</w:t>
            </w:r>
          </w:p>
        </w:tc>
        <w:tc>
          <w:tcPr>
            <w:tcW w:w="1000" w:type="dxa"/>
          </w:tcPr>
          <w:p w:rsidR="00880768" w:rsidRDefault="00880768" w:rsidP="00880768">
            <w:r>
              <w:t>44</w:t>
            </w:r>
          </w:p>
        </w:tc>
        <w:tc>
          <w:tcPr>
            <w:tcW w:w="1020" w:type="dxa"/>
          </w:tcPr>
          <w:p w:rsidR="00880768" w:rsidRDefault="00880768" w:rsidP="00880768">
            <w:r>
              <w:t>121</w:t>
            </w:r>
          </w:p>
        </w:tc>
        <w:tc>
          <w:tcPr>
            <w:tcW w:w="1120" w:type="dxa"/>
          </w:tcPr>
          <w:p w:rsidR="00880768" w:rsidRDefault="00880768" w:rsidP="00880768">
            <w:r>
              <w:t>56 517</w:t>
            </w:r>
          </w:p>
        </w:tc>
        <w:tc>
          <w:tcPr>
            <w:tcW w:w="1120" w:type="dxa"/>
          </w:tcPr>
          <w:p w:rsidR="00880768" w:rsidRDefault="00880768" w:rsidP="00880768">
            <w:r>
              <w:t>54 652</w:t>
            </w:r>
          </w:p>
        </w:tc>
      </w:tr>
      <w:tr w:rsidR="00880768" w:rsidTr="00880768">
        <w:trPr>
          <w:trHeight w:val="360"/>
        </w:trPr>
        <w:tc>
          <w:tcPr>
            <w:tcW w:w="3320" w:type="dxa"/>
          </w:tcPr>
          <w:p w:rsidR="00880768" w:rsidRDefault="00880768" w:rsidP="00880768"/>
        </w:tc>
        <w:tc>
          <w:tcPr>
            <w:tcW w:w="900" w:type="dxa"/>
          </w:tcPr>
          <w:p w:rsidR="00880768" w:rsidRDefault="00880768" w:rsidP="00880768">
            <w:r>
              <w:t>2016</w:t>
            </w:r>
          </w:p>
        </w:tc>
        <w:tc>
          <w:tcPr>
            <w:tcW w:w="1020" w:type="dxa"/>
          </w:tcPr>
          <w:p w:rsidR="00880768" w:rsidRDefault="00880768" w:rsidP="00880768">
            <w:r>
              <w:t>59</w:t>
            </w:r>
          </w:p>
        </w:tc>
        <w:tc>
          <w:tcPr>
            <w:tcW w:w="1000" w:type="dxa"/>
          </w:tcPr>
          <w:p w:rsidR="00880768" w:rsidRDefault="00880768" w:rsidP="00880768">
            <w:r>
              <w:t>41</w:t>
            </w:r>
          </w:p>
        </w:tc>
        <w:tc>
          <w:tcPr>
            <w:tcW w:w="1020" w:type="dxa"/>
          </w:tcPr>
          <w:p w:rsidR="00880768" w:rsidRDefault="00880768" w:rsidP="00880768">
            <w:r>
              <w:t>119</w:t>
            </w:r>
          </w:p>
        </w:tc>
        <w:tc>
          <w:tcPr>
            <w:tcW w:w="1120" w:type="dxa"/>
          </w:tcPr>
          <w:p w:rsidR="00880768" w:rsidRDefault="00880768" w:rsidP="00880768">
            <w:r>
              <w:t>55 380</w:t>
            </w:r>
          </w:p>
        </w:tc>
        <w:tc>
          <w:tcPr>
            <w:tcW w:w="1120" w:type="dxa"/>
          </w:tcPr>
          <w:p w:rsidR="00880768" w:rsidRDefault="00880768" w:rsidP="00880768">
            <w:r>
              <w:t>54 545</w:t>
            </w:r>
          </w:p>
        </w:tc>
      </w:tr>
      <w:tr w:rsidR="00880768" w:rsidTr="00880768">
        <w:trPr>
          <w:trHeight w:val="360"/>
        </w:trPr>
        <w:tc>
          <w:tcPr>
            <w:tcW w:w="3320" w:type="dxa"/>
          </w:tcPr>
          <w:p w:rsidR="00880768" w:rsidRDefault="00880768" w:rsidP="00880768">
            <w:r>
              <w:t>Overingeniør</w:t>
            </w:r>
          </w:p>
        </w:tc>
        <w:tc>
          <w:tcPr>
            <w:tcW w:w="900" w:type="dxa"/>
          </w:tcPr>
          <w:p w:rsidR="00880768" w:rsidRDefault="00880768" w:rsidP="00880768">
            <w:r>
              <w:t>2017</w:t>
            </w:r>
          </w:p>
        </w:tc>
        <w:tc>
          <w:tcPr>
            <w:tcW w:w="1020" w:type="dxa"/>
          </w:tcPr>
          <w:p w:rsidR="00880768" w:rsidRDefault="00880768" w:rsidP="00880768">
            <w:r>
              <w:t>56</w:t>
            </w:r>
          </w:p>
        </w:tc>
        <w:tc>
          <w:tcPr>
            <w:tcW w:w="1000" w:type="dxa"/>
          </w:tcPr>
          <w:p w:rsidR="00880768" w:rsidRDefault="00880768" w:rsidP="00880768">
            <w:r>
              <w:t>44</w:t>
            </w:r>
          </w:p>
        </w:tc>
        <w:tc>
          <w:tcPr>
            <w:tcW w:w="1020" w:type="dxa"/>
          </w:tcPr>
          <w:p w:rsidR="00880768" w:rsidRDefault="00880768" w:rsidP="00880768">
            <w:r>
              <w:t>68</w:t>
            </w:r>
          </w:p>
        </w:tc>
        <w:tc>
          <w:tcPr>
            <w:tcW w:w="1120" w:type="dxa"/>
          </w:tcPr>
          <w:p w:rsidR="00880768" w:rsidRDefault="00880768" w:rsidP="00880768">
            <w:r>
              <w:t>47 248</w:t>
            </w:r>
          </w:p>
        </w:tc>
        <w:tc>
          <w:tcPr>
            <w:tcW w:w="1120" w:type="dxa"/>
          </w:tcPr>
          <w:p w:rsidR="00880768" w:rsidRDefault="00880768" w:rsidP="00880768">
            <w:r>
              <w:t>45 551</w:t>
            </w:r>
          </w:p>
        </w:tc>
      </w:tr>
      <w:tr w:rsidR="00880768" w:rsidTr="00880768">
        <w:trPr>
          <w:trHeight w:val="360"/>
        </w:trPr>
        <w:tc>
          <w:tcPr>
            <w:tcW w:w="3320" w:type="dxa"/>
          </w:tcPr>
          <w:p w:rsidR="00880768" w:rsidRDefault="00880768" w:rsidP="00880768"/>
        </w:tc>
        <w:tc>
          <w:tcPr>
            <w:tcW w:w="900" w:type="dxa"/>
          </w:tcPr>
          <w:p w:rsidR="00880768" w:rsidRDefault="00880768" w:rsidP="00880768">
            <w:r>
              <w:t>2016</w:t>
            </w:r>
          </w:p>
        </w:tc>
        <w:tc>
          <w:tcPr>
            <w:tcW w:w="1020" w:type="dxa"/>
          </w:tcPr>
          <w:p w:rsidR="00880768" w:rsidRDefault="00880768" w:rsidP="00880768">
            <w:r>
              <w:t>55</w:t>
            </w:r>
          </w:p>
        </w:tc>
        <w:tc>
          <w:tcPr>
            <w:tcW w:w="1000" w:type="dxa"/>
          </w:tcPr>
          <w:p w:rsidR="00880768" w:rsidRDefault="00880768" w:rsidP="00880768">
            <w:r>
              <w:t>45</w:t>
            </w:r>
          </w:p>
        </w:tc>
        <w:tc>
          <w:tcPr>
            <w:tcW w:w="1020" w:type="dxa"/>
          </w:tcPr>
          <w:p w:rsidR="00880768" w:rsidRDefault="00880768" w:rsidP="00880768">
            <w:r>
              <w:t>76</w:t>
            </w:r>
          </w:p>
        </w:tc>
        <w:tc>
          <w:tcPr>
            <w:tcW w:w="1120" w:type="dxa"/>
          </w:tcPr>
          <w:p w:rsidR="00880768" w:rsidRDefault="00880768" w:rsidP="00880768">
            <w:r>
              <w:t>46 661</w:t>
            </w:r>
          </w:p>
        </w:tc>
        <w:tc>
          <w:tcPr>
            <w:tcW w:w="1120" w:type="dxa"/>
          </w:tcPr>
          <w:p w:rsidR="00880768" w:rsidRDefault="00880768" w:rsidP="00880768">
            <w:r>
              <w:t>45 424</w:t>
            </w:r>
          </w:p>
        </w:tc>
      </w:tr>
      <w:tr w:rsidR="00880768" w:rsidTr="00880768">
        <w:trPr>
          <w:trHeight w:val="360"/>
        </w:trPr>
        <w:tc>
          <w:tcPr>
            <w:tcW w:w="3320" w:type="dxa"/>
          </w:tcPr>
          <w:p w:rsidR="00880768" w:rsidRDefault="00880768" w:rsidP="00880768">
            <w:r>
              <w:t>Rådgivar</w:t>
            </w:r>
          </w:p>
        </w:tc>
        <w:tc>
          <w:tcPr>
            <w:tcW w:w="900" w:type="dxa"/>
          </w:tcPr>
          <w:p w:rsidR="00880768" w:rsidRDefault="00880768" w:rsidP="00880768">
            <w:r>
              <w:t>2017</w:t>
            </w:r>
          </w:p>
        </w:tc>
        <w:tc>
          <w:tcPr>
            <w:tcW w:w="1020" w:type="dxa"/>
          </w:tcPr>
          <w:p w:rsidR="00880768" w:rsidRDefault="00880768" w:rsidP="00880768">
            <w:r>
              <w:t>32</w:t>
            </w:r>
          </w:p>
        </w:tc>
        <w:tc>
          <w:tcPr>
            <w:tcW w:w="1000" w:type="dxa"/>
          </w:tcPr>
          <w:p w:rsidR="00880768" w:rsidRDefault="00880768" w:rsidP="00880768">
            <w:r>
              <w:t>68</w:t>
            </w:r>
          </w:p>
        </w:tc>
        <w:tc>
          <w:tcPr>
            <w:tcW w:w="1020" w:type="dxa"/>
          </w:tcPr>
          <w:p w:rsidR="00880768" w:rsidRDefault="00880768" w:rsidP="00880768">
            <w:r>
              <w:t>65</w:t>
            </w:r>
          </w:p>
        </w:tc>
        <w:tc>
          <w:tcPr>
            <w:tcW w:w="1120" w:type="dxa"/>
          </w:tcPr>
          <w:p w:rsidR="00880768" w:rsidRDefault="00880768" w:rsidP="00880768">
            <w:r>
              <w:t>44 210</w:t>
            </w:r>
          </w:p>
        </w:tc>
        <w:tc>
          <w:tcPr>
            <w:tcW w:w="1120" w:type="dxa"/>
          </w:tcPr>
          <w:p w:rsidR="00880768" w:rsidRDefault="00880768" w:rsidP="00880768">
            <w:r>
              <w:t>43 774</w:t>
            </w:r>
          </w:p>
        </w:tc>
      </w:tr>
      <w:tr w:rsidR="00880768" w:rsidTr="00880768">
        <w:trPr>
          <w:trHeight w:val="360"/>
        </w:trPr>
        <w:tc>
          <w:tcPr>
            <w:tcW w:w="3320" w:type="dxa"/>
          </w:tcPr>
          <w:p w:rsidR="00880768" w:rsidRDefault="00880768" w:rsidP="00880768"/>
        </w:tc>
        <w:tc>
          <w:tcPr>
            <w:tcW w:w="900" w:type="dxa"/>
          </w:tcPr>
          <w:p w:rsidR="00880768" w:rsidRDefault="00880768" w:rsidP="00880768">
            <w:r>
              <w:t>2016</w:t>
            </w:r>
          </w:p>
        </w:tc>
        <w:tc>
          <w:tcPr>
            <w:tcW w:w="1020" w:type="dxa"/>
          </w:tcPr>
          <w:p w:rsidR="00880768" w:rsidRDefault="00880768" w:rsidP="00880768">
            <w:r>
              <w:t>28</w:t>
            </w:r>
          </w:p>
        </w:tc>
        <w:tc>
          <w:tcPr>
            <w:tcW w:w="1000" w:type="dxa"/>
          </w:tcPr>
          <w:p w:rsidR="00880768" w:rsidRDefault="00880768" w:rsidP="00880768">
            <w:r>
              <w:t>72</w:t>
            </w:r>
          </w:p>
        </w:tc>
        <w:tc>
          <w:tcPr>
            <w:tcW w:w="1020" w:type="dxa"/>
          </w:tcPr>
          <w:p w:rsidR="00880768" w:rsidRDefault="00880768" w:rsidP="00880768">
            <w:r>
              <w:t>54</w:t>
            </w:r>
          </w:p>
        </w:tc>
        <w:tc>
          <w:tcPr>
            <w:tcW w:w="1120" w:type="dxa"/>
          </w:tcPr>
          <w:p w:rsidR="00880768" w:rsidRDefault="00880768" w:rsidP="00880768">
            <w:r>
              <w:t>43 868</w:t>
            </w:r>
          </w:p>
        </w:tc>
        <w:tc>
          <w:tcPr>
            <w:tcW w:w="1120" w:type="dxa"/>
          </w:tcPr>
          <w:p w:rsidR="00880768" w:rsidRDefault="00880768" w:rsidP="00880768">
            <w:r>
              <w:t>43 612</w:t>
            </w:r>
          </w:p>
        </w:tc>
      </w:tr>
      <w:tr w:rsidR="00880768" w:rsidTr="00880768">
        <w:trPr>
          <w:trHeight w:val="360"/>
        </w:trPr>
        <w:tc>
          <w:tcPr>
            <w:tcW w:w="3320" w:type="dxa"/>
          </w:tcPr>
          <w:p w:rsidR="00880768" w:rsidRDefault="00880768" w:rsidP="00880768">
            <w:r>
              <w:t>Førstekonsulent</w:t>
            </w:r>
          </w:p>
        </w:tc>
        <w:tc>
          <w:tcPr>
            <w:tcW w:w="900" w:type="dxa"/>
          </w:tcPr>
          <w:p w:rsidR="00880768" w:rsidRDefault="00880768" w:rsidP="00880768">
            <w:r>
              <w:t>2017</w:t>
            </w:r>
          </w:p>
        </w:tc>
        <w:tc>
          <w:tcPr>
            <w:tcW w:w="1020" w:type="dxa"/>
          </w:tcPr>
          <w:p w:rsidR="00880768" w:rsidRDefault="00880768" w:rsidP="00880768">
            <w:r>
              <w:t>50</w:t>
            </w:r>
          </w:p>
        </w:tc>
        <w:tc>
          <w:tcPr>
            <w:tcW w:w="1000" w:type="dxa"/>
          </w:tcPr>
          <w:p w:rsidR="00880768" w:rsidRDefault="00880768" w:rsidP="00880768">
            <w:r>
              <w:t>50</w:t>
            </w:r>
          </w:p>
        </w:tc>
        <w:tc>
          <w:tcPr>
            <w:tcW w:w="1020" w:type="dxa"/>
          </w:tcPr>
          <w:p w:rsidR="00880768" w:rsidRDefault="00880768" w:rsidP="00880768">
            <w:r>
              <w:t>12</w:t>
            </w:r>
          </w:p>
        </w:tc>
        <w:tc>
          <w:tcPr>
            <w:tcW w:w="1120" w:type="dxa"/>
          </w:tcPr>
          <w:p w:rsidR="00880768" w:rsidRDefault="00880768" w:rsidP="00880768">
            <w:r>
              <w:t>39 067</w:t>
            </w:r>
          </w:p>
        </w:tc>
        <w:tc>
          <w:tcPr>
            <w:tcW w:w="1120" w:type="dxa"/>
          </w:tcPr>
          <w:p w:rsidR="00880768" w:rsidRDefault="00880768" w:rsidP="00880768">
            <w:r>
              <w:t>40 366</w:t>
            </w:r>
          </w:p>
        </w:tc>
      </w:tr>
      <w:tr w:rsidR="00880768" w:rsidTr="00880768">
        <w:trPr>
          <w:trHeight w:val="360"/>
        </w:trPr>
        <w:tc>
          <w:tcPr>
            <w:tcW w:w="3320" w:type="dxa"/>
          </w:tcPr>
          <w:p w:rsidR="00880768" w:rsidRDefault="00880768" w:rsidP="00880768"/>
        </w:tc>
        <w:tc>
          <w:tcPr>
            <w:tcW w:w="900" w:type="dxa"/>
          </w:tcPr>
          <w:p w:rsidR="00880768" w:rsidRDefault="00880768" w:rsidP="00880768">
            <w:r>
              <w:t>2016</w:t>
            </w:r>
          </w:p>
        </w:tc>
        <w:tc>
          <w:tcPr>
            <w:tcW w:w="1020" w:type="dxa"/>
          </w:tcPr>
          <w:p w:rsidR="00880768" w:rsidRDefault="00880768" w:rsidP="00880768">
            <w:r>
              <w:t>50</w:t>
            </w:r>
          </w:p>
        </w:tc>
        <w:tc>
          <w:tcPr>
            <w:tcW w:w="1000" w:type="dxa"/>
          </w:tcPr>
          <w:p w:rsidR="00880768" w:rsidRDefault="00880768" w:rsidP="00880768">
            <w:r>
              <w:t>50</w:t>
            </w:r>
          </w:p>
        </w:tc>
        <w:tc>
          <w:tcPr>
            <w:tcW w:w="1020" w:type="dxa"/>
          </w:tcPr>
          <w:p w:rsidR="00880768" w:rsidRDefault="00880768" w:rsidP="00880768">
            <w:r>
              <w:t>12</w:t>
            </w:r>
          </w:p>
        </w:tc>
        <w:tc>
          <w:tcPr>
            <w:tcW w:w="1120" w:type="dxa"/>
          </w:tcPr>
          <w:p w:rsidR="00880768" w:rsidRDefault="00880768" w:rsidP="00880768">
            <w:r>
              <w:t>39 228</w:t>
            </w:r>
          </w:p>
        </w:tc>
        <w:tc>
          <w:tcPr>
            <w:tcW w:w="1120" w:type="dxa"/>
          </w:tcPr>
          <w:p w:rsidR="00880768" w:rsidRDefault="00880768" w:rsidP="00880768">
            <w:r>
              <w:t>39 935</w:t>
            </w:r>
          </w:p>
        </w:tc>
      </w:tr>
      <w:tr w:rsidR="00880768" w:rsidTr="00880768">
        <w:trPr>
          <w:trHeight w:val="360"/>
        </w:trPr>
        <w:tc>
          <w:tcPr>
            <w:tcW w:w="3320" w:type="dxa"/>
          </w:tcPr>
          <w:p w:rsidR="00880768" w:rsidRDefault="00880768" w:rsidP="00880768">
            <w:r>
              <w:t>Avdelingsingeniør</w:t>
            </w:r>
          </w:p>
        </w:tc>
        <w:tc>
          <w:tcPr>
            <w:tcW w:w="900" w:type="dxa"/>
          </w:tcPr>
          <w:p w:rsidR="00880768" w:rsidRDefault="00880768" w:rsidP="00880768">
            <w:r>
              <w:t>2017</w:t>
            </w:r>
          </w:p>
        </w:tc>
        <w:tc>
          <w:tcPr>
            <w:tcW w:w="1020" w:type="dxa"/>
          </w:tcPr>
          <w:p w:rsidR="00880768" w:rsidRDefault="00880768" w:rsidP="00880768">
            <w:r>
              <w:t>52</w:t>
            </w:r>
          </w:p>
        </w:tc>
        <w:tc>
          <w:tcPr>
            <w:tcW w:w="1000" w:type="dxa"/>
          </w:tcPr>
          <w:p w:rsidR="00880768" w:rsidRDefault="00880768" w:rsidP="00880768">
            <w:r>
              <w:t>48</w:t>
            </w:r>
          </w:p>
        </w:tc>
        <w:tc>
          <w:tcPr>
            <w:tcW w:w="1020" w:type="dxa"/>
          </w:tcPr>
          <w:p w:rsidR="00880768" w:rsidRDefault="00880768" w:rsidP="00880768">
            <w:r>
              <w:t>25</w:t>
            </w:r>
          </w:p>
        </w:tc>
        <w:tc>
          <w:tcPr>
            <w:tcW w:w="1120" w:type="dxa"/>
          </w:tcPr>
          <w:p w:rsidR="00880768" w:rsidRDefault="00880768" w:rsidP="00880768">
            <w:r>
              <w:t>39 460</w:t>
            </w:r>
          </w:p>
        </w:tc>
        <w:tc>
          <w:tcPr>
            <w:tcW w:w="1120" w:type="dxa"/>
          </w:tcPr>
          <w:p w:rsidR="00880768" w:rsidRDefault="00880768" w:rsidP="00880768">
            <w:r>
              <w:t>39 623</w:t>
            </w:r>
          </w:p>
        </w:tc>
      </w:tr>
      <w:tr w:rsidR="00880768" w:rsidTr="00880768">
        <w:trPr>
          <w:trHeight w:val="360"/>
        </w:trPr>
        <w:tc>
          <w:tcPr>
            <w:tcW w:w="3320" w:type="dxa"/>
          </w:tcPr>
          <w:p w:rsidR="00880768" w:rsidRDefault="00880768" w:rsidP="00880768"/>
        </w:tc>
        <w:tc>
          <w:tcPr>
            <w:tcW w:w="900" w:type="dxa"/>
          </w:tcPr>
          <w:p w:rsidR="00880768" w:rsidRDefault="00880768" w:rsidP="00880768">
            <w:r>
              <w:t>2016</w:t>
            </w:r>
          </w:p>
        </w:tc>
        <w:tc>
          <w:tcPr>
            <w:tcW w:w="1020" w:type="dxa"/>
          </w:tcPr>
          <w:p w:rsidR="00880768" w:rsidRDefault="00880768" w:rsidP="00880768">
            <w:r>
              <w:t>62</w:t>
            </w:r>
          </w:p>
        </w:tc>
        <w:tc>
          <w:tcPr>
            <w:tcW w:w="1000" w:type="dxa"/>
          </w:tcPr>
          <w:p w:rsidR="00880768" w:rsidRDefault="00880768" w:rsidP="00880768">
            <w:r>
              <w:t>38</w:t>
            </w:r>
          </w:p>
        </w:tc>
        <w:tc>
          <w:tcPr>
            <w:tcW w:w="1020" w:type="dxa"/>
          </w:tcPr>
          <w:p w:rsidR="00880768" w:rsidRDefault="00880768" w:rsidP="00880768">
            <w:r>
              <w:t>16</w:t>
            </w:r>
          </w:p>
        </w:tc>
        <w:tc>
          <w:tcPr>
            <w:tcW w:w="1120" w:type="dxa"/>
          </w:tcPr>
          <w:p w:rsidR="00880768" w:rsidRDefault="00880768" w:rsidP="00880768">
            <w:r>
              <w:t>38 368</w:t>
            </w:r>
          </w:p>
        </w:tc>
        <w:tc>
          <w:tcPr>
            <w:tcW w:w="1120" w:type="dxa"/>
          </w:tcPr>
          <w:p w:rsidR="00880768" w:rsidRDefault="00880768" w:rsidP="00880768">
            <w:r>
              <w:t>39 161</w:t>
            </w:r>
          </w:p>
        </w:tc>
      </w:tr>
      <w:tr w:rsidR="00880768" w:rsidTr="00880768">
        <w:trPr>
          <w:trHeight w:val="360"/>
        </w:trPr>
        <w:tc>
          <w:tcPr>
            <w:tcW w:w="3320" w:type="dxa"/>
          </w:tcPr>
          <w:p w:rsidR="00880768" w:rsidRDefault="00880768" w:rsidP="00880768">
            <w:r>
              <w:t>Seniorkonsulent</w:t>
            </w:r>
          </w:p>
        </w:tc>
        <w:tc>
          <w:tcPr>
            <w:tcW w:w="900" w:type="dxa"/>
          </w:tcPr>
          <w:p w:rsidR="00880768" w:rsidRDefault="00880768" w:rsidP="00880768">
            <w:r>
              <w:t>2017</w:t>
            </w:r>
          </w:p>
        </w:tc>
        <w:tc>
          <w:tcPr>
            <w:tcW w:w="1020" w:type="dxa"/>
          </w:tcPr>
          <w:p w:rsidR="00880768" w:rsidRDefault="00880768" w:rsidP="00880768">
            <w:r>
              <w:t>14</w:t>
            </w:r>
          </w:p>
        </w:tc>
        <w:tc>
          <w:tcPr>
            <w:tcW w:w="1000" w:type="dxa"/>
          </w:tcPr>
          <w:p w:rsidR="00880768" w:rsidRDefault="00880768" w:rsidP="00880768">
            <w:r>
              <w:t>86</w:t>
            </w:r>
          </w:p>
        </w:tc>
        <w:tc>
          <w:tcPr>
            <w:tcW w:w="1020" w:type="dxa"/>
          </w:tcPr>
          <w:p w:rsidR="00880768" w:rsidRDefault="00880768" w:rsidP="00880768">
            <w:r>
              <w:t>29</w:t>
            </w:r>
          </w:p>
        </w:tc>
        <w:tc>
          <w:tcPr>
            <w:tcW w:w="1120" w:type="dxa"/>
          </w:tcPr>
          <w:p w:rsidR="00880768" w:rsidRDefault="00880768" w:rsidP="00880768">
            <w:r>
              <w:t>39 958</w:t>
            </w:r>
          </w:p>
        </w:tc>
        <w:tc>
          <w:tcPr>
            <w:tcW w:w="1120" w:type="dxa"/>
          </w:tcPr>
          <w:p w:rsidR="00880768" w:rsidRDefault="00880768" w:rsidP="00880768">
            <w:r>
              <w:t>41 224</w:t>
            </w:r>
          </w:p>
        </w:tc>
      </w:tr>
      <w:tr w:rsidR="00880768" w:rsidTr="00880768">
        <w:trPr>
          <w:trHeight w:val="360"/>
        </w:trPr>
        <w:tc>
          <w:tcPr>
            <w:tcW w:w="3320" w:type="dxa"/>
          </w:tcPr>
          <w:p w:rsidR="00880768" w:rsidRDefault="00880768" w:rsidP="00880768"/>
        </w:tc>
        <w:tc>
          <w:tcPr>
            <w:tcW w:w="900" w:type="dxa"/>
          </w:tcPr>
          <w:p w:rsidR="00880768" w:rsidRDefault="00880768" w:rsidP="00880768">
            <w:r>
              <w:t>2016</w:t>
            </w:r>
          </w:p>
        </w:tc>
        <w:tc>
          <w:tcPr>
            <w:tcW w:w="1020" w:type="dxa"/>
          </w:tcPr>
          <w:p w:rsidR="00880768" w:rsidRDefault="00880768" w:rsidP="00880768">
            <w:r>
              <w:t>12</w:t>
            </w:r>
          </w:p>
        </w:tc>
        <w:tc>
          <w:tcPr>
            <w:tcW w:w="1000" w:type="dxa"/>
          </w:tcPr>
          <w:p w:rsidR="00880768" w:rsidRDefault="00880768" w:rsidP="00880768">
            <w:r>
              <w:t>88</w:t>
            </w:r>
          </w:p>
        </w:tc>
        <w:tc>
          <w:tcPr>
            <w:tcW w:w="1020" w:type="dxa"/>
          </w:tcPr>
          <w:p w:rsidR="00880768" w:rsidRDefault="00880768" w:rsidP="00880768">
            <w:r>
              <w:t>33</w:t>
            </w:r>
          </w:p>
        </w:tc>
        <w:tc>
          <w:tcPr>
            <w:tcW w:w="1120" w:type="dxa"/>
          </w:tcPr>
          <w:p w:rsidR="00880768" w:rsidRDefault="00880768" w:rsidP="00880768">
            <w:r>
              <w:t>39 135</w:t>
            </w:r>
          </w:p>
        </w:tc>
        <w:tc>
          <w:tcPr>
            <w:tcW w:w="1120" w:type="dxa"/>
          </w:tcPr>
          <w:p w:rsidR="00880768" w:rsidRDefault="00880768" w:rsidP="00880768">
            <w:r>
              <w:t>40 475</w:t>
            </w:r>
          </w:p>
        </w:tc>
      </w:tr>
      <w:tr w:rsidR="00880768" w:rsidTr="00880768">
        <w:trPr>
          <w:trHeight w:val="360"/>
        </w:trPr>
        <w:tc>
          <w:tcPr>
            <w:tcW w:w="3320" w:type="dxa"/>
          </w:tcPr>
          <w:p w:rsidR="00880768" w:rsidRDefault="00880768" w:rsidP="00880768">
            <w:r>
              <w:t>Konsulent</w:t>
            </w:r>
          </w:p>
        </w:tc>
        <w:tc>
          <w:tcPr>
            <w:tcW w:w="900" w:type="dxa"/>
          </w:tcPr>
          <w:p w:rsidR="00880768" w:rsidRDefault="00880768" w:rsidP="00880768">
            <w:r>
              <w:t>2017</w:t>
            </w:r>
          </w:p>
        </w:tc>
        <w:tc>
          <w:tcPr>
            <w:tcW w:w="1020" w:type="dxa"/>
          </w:tcPr>
          <w:p w:rsidR="00880768" w:rsidRDefault="00880768" w:rsidP="00880768">
            <w:r>
              <w:t>15</w:t>
            </w:r>
          </w:p>
        </w:tc>
        <w:tc>
          <w:tcPr>
            <w:tcW w:w="1000" w:type="dxa"/>
          </w:tcPr>
          <w:p w:rsidR="00880768" w:rsidRDefault="00880768" w:rsidP="00880768">
            <w:r>
              <w:t>85</w:t>
            </w:r>
          </w:p>
        </w:tc>
        <w:tc>
          <w:tcPr>
            <w:tcW w:w="1020" w:type="dxa"/>
          </w:tcPr>
          <w:p w:rsidR="00880768" w:rsidRDefault="00880768" w:rsidP="00880768">
            <w:r>
              <w:t>7</w:t>
            </w:r>
          </w:p>
        </w:tc>
        <w:tc>
          <w:tcPr>
            <w:tcW w:w="1120" w:type="dxa"/>
          </w:tcPr>
          <w:p w:rsidR="00880768" w:rsidRDefault="00880768" w:rsidP="00880768">
            <w:r>
              <w:t>*</w:t>
            </w:r>
          </w:p>
        </w:tc>
        <w:tc>
          <w:tcPr>
            <w:tcW w:w="1120" w:type="dxa"/>
          </w:tcPr>
          <w:p w:rsidR="00880768" w:rsidRDefault="00880768" w:rsidP="00880768">
            <w:r>
              <w:t>38 597</w:t>
            </w:r>
          </w:p>
        </w:tc>
      </w:tr>
      <w:tr w:rsidR="00880768" w:rsidTr="00880768">
        <w:trPr>
          <w:trHeight w:val="360"/>
        </w:trPr>
        <w:tc>
          <w:tcPr>
            <w:tcW w:w="3320" w:type="dxa"/>
          </w:tcPr>
          <w:p w:rsidR="00880768" w:rsidRDefault="00880768" w:rsidP="00880768"/>
        </w:tc>
        <w:tc>
          <w:tcPr>
            <w:tcW w:w="900" w:type="dxa"/>
          </w:tcPr>
          <w:p w:rsidR="00880768" w:rsidRDefault="00880768" w:rsidP="00880768">
            <w:r>
              <w:t>2016</w:t>
            </w:r>
          </w:p>
        </w:tc>
        <w:tc>
          <w:tcPr>
            <w:tcW w:w="1020" w:type="dxa"/>
          </w:tcPr>
          <w:p w:rsidR="00880768" w:rsidRDefault="00880768" w:rsidP="00880768">
            <w:r>
              <w:t>20</w:t>
            </w:r>
          </w:p>
        </w:tc>
        <w:tc>
          <w:tcPr>
            <w:tcW w:w="1000" w:type="dxa"/>
          </w:tcPr>
          <w:p w:rsidR="00880768" w:rsidRDefault="00880768" w:rsidP="00880768">
            <w:r>
              <w:t>80</w:t>
            </w:r>
          </w:p>
        </w:tc>
        <w:tc>
          <w:tcPr>
            <w:tcW w:w="1020" w:type="dxa"/>
          </w:tcPr>
          <w:p w:rsidR="00880768" w:rsidRDefault="00880768" w:rsidP="00880768">
            <w:r>
              <w:t>5</w:t>
            </w:r>
          </w:p>
        </w:tc>
        <w:tc>
          <w:tcPr>
            <w:tcW w:w="1120" w:type="dxa"/>
          </w:tcPr>
          <w:p w:rsidR="00880768" w:rsidRDefault="00880768" w:rsidP="00880768">
            <w:r>
              <w:t>*</w:t>
            </w:r>
          </w:p>
        </w:tc>
        <w:tc>
          <w:tcPr>
            <w:tcW w:w="1120" w:type="dxa"/>
          </w:tcPr>
          <w:p w:rsidR="00880768" w:rsidRDefault="00880768" w:rsidP="00880768">
            <w:r>
              <w:t>35 442</w:t>
            </w:r>
          </w:p>
        </w:tc>
      </w:tr>
      <w:tr w:rsidR="00880768" w:rsidTr="00880768">
        <w:trPr>
          <w:trHeight w:val="360"/>
        </w:trPr>
        <w:tc>
          <w:tcPr>
            <w:tcW w:w="3320" w:type="dxa"/>
          </w:tcPr>
          <w:p w:rsidR="00880768" w:rsidRDefault="00880768" w:rsidP="00880768">
            <w:r>
              <w:t>Formann</w:t>
            </w:r>
          </w:p>
        </w:tc>
        <w:tc>
          <w:tcPr>
            <w:tcW w:w="900" w:type="dxa"/>
          </w:tcPr>
          <w:p w:rsidR="00880768" w:rsidRDefault="00880768" w:rsidP="00880768">
            <w:r>
              <w:t>2017</w:t>
            </w:r>
          </w:p>
        </w:tc>
        <w:tc>
          <w:tcPr>
            <w:tcW w:w="1020" w:type="dxa"/>
          </w:tcPr>
          <w:p w:rsidR="00880768" w:rsidRDefault="00880768" w:rsidP="00880768">
            <w:r>
              <w:t>100</w:t>
            </w:r>
          </w:p>
        </w:tc>
        <w:tc>
          <w:tcPr>
            <w:tcW w:w="1000" w:type="dxa"/>
          </w:tcPr>
          <w:p w:rsidR="00880768" w:rsidRDefault="00880768" w:rsidP="00880768">
            <w:r>
              <w:t>0</w:t>
            </w:r>
          </w:p>
        </w:tc>
        <w:tc>
          <w:tcPr>
            <w:tcW w:w="1020" w:type="dxa"/>
          </w:tcPr>
          <w:p w:rsidR="00880768" w:rsidRDefault="00880768" w:rsidP="00880768">
            <w:r>
              <w:t>6</w:t>
            </w:r>
          </w:p>
        </w:tc>
        <w:tc>
          <w:tcPr>
            <w:tcW w:w="1120" w:type="dxa"/>
          </w:tcPr>
          <w:p w:rsidR="00880768" w:rsidRDefault="00880768" w:rsidP="00880768">
            <w:r>
              <w:t>42 601</w:t>
            </w:r>
          </w:p>
        </w:tc>
        <w:tc>
          <w:tcPr>
            <w:tcW w:w="1120" w:type="dxa"/>
          </w:tcPr>
          <w:p w:rsidR="00880768" w:rsidRDefault="00880768" w:rsidP="00880768">
            <w:r>
              <w:t>-</w:t>
            </w:r>
          </w:p>
        </w:tc>
      </w:tr>
      <w:tr w:rsidR="00880768" w:rsidTr="00880768">
        <w:trPr>
          <w:trHeight w:val="360"/>
        </w:trPr>
        <w:tc>
          <w:tcPr>
            <w:tcW w:w="3320" w:type="dxa"/>
          </w:tcPr>
          <w:p w:rsidR="00880768" w:rsidRDefault="00880768" w:rsidP="00880768"/>
        </w:tc>
        <w:tc>
          <w:tcPr>
            <w:tcW w:w="900" w:type="dxa"/>
          </w:tcPr>
          <w:p w:rsidR="00880768" w:rsidRDefault="00880768" w:rsidP="00880768">
            <w:r>
              <w:t>2016</w:t>
            </w:r>
          </w:p>
        </w:tc>
        <w:tc>
          <w:tcPr>
            <w:tcW w:w="1020" w:type="dxa"/>
          </w:tcPr>
          <w:p w:rsidR="00880768" w:rsidRDefault="00880768" w:rsidP="00880768">
            <w:r>
              <w:t>100</w:t>
            </w:r>
          </w:p>
        </w:tc>
        <w:tc>
          <w:tcPr>
            <w:tcW w:w="1000" w:type="dxa"/>
          </w:tcPr>
          <w:p w:rsidR="00880768" w:rsidRDefault="00880768" w:rsidP="00880768">
            <w:r>
              <w:t>0</w:t>
            </w:r>
          </w:p>
        </w:tc>
        <w:tc>
          <w:tcPr>
            <w:tcW w:w="1020" w:type="dxa"/>
          </w:tcPr>
          <w:p w:rsidR="00880768" w:rsidRDefault="00880768" w:rsidP="00880768">
            <w:r>
              <w:t>8</w:t>
            </w:r>
          </w:p>
        </w:tc>
        <w:tc>
          <w:tcPr>
            <w:tcW w:w="1120" w:type="dxa"/>
          </w:tcPr>
          <w:p w:rsidR="00880768" w:rsidRDefault="00880768" w:rsidP="00880768">
            <w:r>
              <w:t>41 356</w:t>
            </w:r>
          </w:p>
        </w:tc>
        <w:tc>
          <w:tcPr>
            <w:tcW w:w="1120" w:type="dxa"/>
          </w:tcPr>
          <w:p w:rsidR="00880768" w:rsidRDefault="00880768" w:rsidP="00880768">
            <w:r>
              <w:t>-</w:t>
            </w:r>
          </w:p>
        </w:tc>
      </w:tr>
      <w:tr w:rsidR="00880768" w:rsidTr="00880768">
        <w:trPr>
          <w:trHeight w:val="360"/>
        </w:trPr>
        <w:tc>
          <w:tcPr>
            <w:tcW w:w="3320" w:type="dxa"/>
          </w:tcPr>
          <w:p w:rsidR="00880768" w:rsidRDefault="00880768" w:rsidP="00880768">
            <w:r>
              <w:t>Fagarbeidar</w:t>
            </w:r>
          </w:p>
        </w:tc>
        <w:tc>
          <w:tcPr>
            <w:tcW w:w="900" w:type="dxa"/>
          </w:tcPr>
          <w:p w:rsidR="00880768" w:rsidRDefault="00880768" w:rsidP="00880768">
            <w:r>
              <w:t>2017</w:t>
            </w:r>
          </w:p>
        </w:tc>
        <w:tc>
          <w:tcPr>
            <w:tcW w:w="1020" w:type="dxa"/>
          </w:tcPr>
          <w:p w:rsidR="00880768" w:rsidRDefault="00880768" w:rsidP="00880768">
            <w:r>
              <w:t>100</w:t>
            </w:r>
          </w:p>
        </w:tc>
        <w:tc>
          <w:tcPr>
            <w:tcW w:w="1000" w:type="dxa"/>
          </w:tcPr>
          <w:p w:rsidR="00880768" w:rsidRDefault="00880768" w:rsidP="00880768">
            <w:r>
              <w:t>0</w:t>
            </w:r>
          </w:p>
        </w:tc>
        <w:tc>
          <w:tcPr>
            <w:tcW w:w="1020" w:type="dxa"/>
          </w:tcPr>
          <w:p w:rsidR="00880768" w:rsidRDefault="00880768" w:rsidP="00880768">
            <w:r>
              <w:t>17</w:t>
            </w:r>
          </w:p>
        </w:tc>
        <w:tc>
          <w:tcPr>
            <w:tcW w:w="1120" w:type="dxa"/>
          </w:tcPr>
          <w:p w:rsidR="00880768" w:rsidRDefault="00880768" w:rsidP="00880768">
            <w:r>
              <w:t>38 244</w:t>
            </w:r>
          </w:p>
        </w:tc>
        <w:tc>
          <w:tcPr>
            <w:tcW w:w="1120" w:type="dxa"/>
          </w:tcPr>
          <w:p w:rsidR="00880768" w:rsidRDefault="00880768" w:rsidP="00880768">
            <w:r>
              <w:t>-</w:t>
            </w:r>
          </w:p>
        </w:tc>
      </w:tr>
      <w:tr w:rsidR="00880768" w:rsidTr="00880768">
        <w:trPr>
          <w:trHeight w:val="360"/>
        </w:trPr>
        <w:tc>
          <w:tcPr>
            <w:tcW w:w="3320" w:type="dxa"/>
          </w:tcPr>
          <w:p w:rsidR="00880768" w:rsidRDefault="00880768" w:rsidP="00880768"/>
        </w:tc>
        <w:tc>
          <w:tcPr>
            <w:tcW w:w="900" w:type="dxa"/>
          </w:tcPr>
          <w:p w:rsidR="00880768" w:rsidRDefault="00880768" w:rsidP="00880768">
            <w:r>
              <w:t>2016</w:t>
            </w:r>
          </w:p>
        </w:tc>
        <w:tc>
          <w:tcPr>
            <w:tcW w:w="1020" w:type="dxa"/>
          </w:tcPr>
          <w:p w:rsidR="00880768" w:rsidRDefault="00880768" w:rsidP="00880768">
            <w:r>
              <w:t>100</w:t>
            </w:r>
          </w:p>
        </w:tc>
        <w:tc>
          <w:tcPr>
            <w:tcW w:w="1000" w:type="dxa"/>
          </w:tcPr>
          <w:p w:rsidR="00880768" w:rsidRDefault="00880768" w:rsidP="00880768">
            <w:r>
              <w:t>0</w:t>
            </w:r>
          </w:p>
        </w:tc>
        <w:tc>
          <w:tcPr>
            <w:tcW w:w="1020" w:type="dxa"/>
          </w:tcPr>
          <w:p w:rsidR="00880768" w:rsidRDefault="00880768" w:rsidP="00880768">
            <w:r>
              <w:t>21</w:t>
            </w:r>
          </w:p>
        </w:tc>
        <w:tc>
          <w:tcPr>
            <w:tcW w:w="1120" w:type="dxa"/>
          </w:tcPr>
          <w:p w:rsidR="00880768" w:rsidRDefault="00880768" w:rsidP="00880768">
            <w:r>
              <w:t>37 432</w:t>
            </w:r>
          </w:p>
        </w:tc>
        <w:tc>
          <w:tcPr>
            <w:tcW w:w="1120" w:type="dxa"/>
          </w:tcPr>
          <w:p w:rsidR="00880768" w:rsidRDefault="00880768" w:rsidP="00880768">
            <w:r>
              <w:t>-</w:t>
            </w:r>
          </w:p>
        </w:tc>
      </w:tr>
      <w:tr w:rsidR="00880768" w:rsidTr="00880768">
        <w:trPr>
          <w:trHeight w:val="360"/>
        </w:trPr>
        <w:tc>
          <w:tcPr>
            <w:tcW w:w="3320" w:type="dxa"/>
          </w:tcPr>
          <w:p w:rsidR="00880768" w:rsidRDefault="00880768" w:rsidP="00880768">
            <w:r>
              <w:t>Sjukefråværsstatistikk (leg</w:t>
            </w:r>
            <w:r>
              <w:t>e</w:t>
            </w:r>
            <w:r>
              <w:t>meldt)</w:t>
            </w:r>
          </w:p>
        </w:tc>
        <w:tc>
          <w:tcPr>
            <w:tcW w:w="900" w:type="dxa"/>
          </w:tcPr>
          <w:p w:rsidR="00880768" w:rsidRDefault="00880768" w:rsidP="00880768">
            <w:r>
              <w:t>2017</w:t>
            </w:r>
          </w:p>
        </w:tc>
        <w:tc>
          <w:tcPr>
            <w:tcW w:w="1020" w:type="dxa"/>
          </w:tcPr>
          <w:p w:rsidR="00880768" w:rsidRDefault="00880768" w:rsidP="00880768">
            <w:r>
              <w:t>3,4</w:t>
            </w:r>
          </w:p>
        </w:tc>
        <w:tc>
          <w:tcPr>
            <w:tcW w:w="1000" w:type="dxa"/>
          </w:tcPr>
          <w:p w:rsidR="00880768" w:rsidRDefault="00880768" w:rsidP="00880768">
            <w:r>
              <w:t>4,1</w:t>
            </w:r>
          </w:p>
        </w:tc>
        <w:tc>
          <w:tcPr>
            <w:tcW w:w="1020" w:type="dxa"/>
          </w:tcPr>
          <w:p w:rsidR="00880768" w:rsidRDefault="00880768" w:rsidP="00880768">
            <w:r>
              <w:t>3,7</w:t>
            </w:r>
          </w:p>
        </w:tc>
        <w:tc>
          <w:tcPr>
            <w:tcW w:w="1120" w:type="dxa"/>
          </w:tcPr>
          <w:p w:rsidR="00880768" w:rsidRDefault="00880768" w:rsidP="00880768"/>
        </w:tc>
        <w:tc>
          <w:tcPr>
            <w:tcW w:w="1120" w:type="dxa"/>
          </w:tcPr>
          <w:p w:rsidR="00880768" w:rsidRDefault="00880768" w:rsidP="00880768"/>
        </w:tc>
      </w:tr>
      <w:tr w:rsidR="00880768" w:rsidTr="00880768">
        <w:trPr>
          <w:trHeight w:val="360"/>
        </w:trPr>
        <w:tc>
          <w:tcPr>
            <w:tcW w:w="3320" w:type="dxa"/>
          </w:tcPr>
          <w:p w:rsidR="00880768" w:rsidRDefault="00880768" w:rsidP="00880768"/>
        </w:tc>
        <w:tc>
          <w:tcPr>
            <w:tcW w:w="900" w:type="dxa"/>
          </w:tcPr>
          <w:p w:rsidR="00880768" w:rsidRDefault="00880768" w:rsidP="00880768">
            <w:r>
              <w:t>2016</w:t>
            </w:r>
          </w:p>
        </w:tc>
        <w:tc>
          <w:tcPr>
            <w:tcW w:w="1020" w:type="dxa"/>
          </w:tcPr>
          <w:p w:rsidR="00880768" w:rsidRDefault="00880768" w:rsidP="00880768">
            <w:r>
              <w:t>3,6</w:t>
            </w:r>
          </w:p>
        </w:tc>
        <w:tc>
          <w:tcPr>
            <w:tcW w:w="1000" w:type="dxa"/>
          </w:tcPr>
          <w:p w:rsidR="00880768" w:rsidRDefault="00880768" w:rsidP="00880768">
            <w:r>
              <w:t>4,7</w:t>
            </w:r>
          </w:p>
        </w:tc>
        <w:tc>
          <w:tcPr>
            <w:tcW w:w="1020" w:type="dxa"/>
          </w:tcPr>
          <w:p w:rsidR="00880768" w:rsidRDefault="00880768" w:rsidP="00880768">
            <w:r>
              <w:t>4,1</w:t>
            </w:r>
          </w:p>
        </w:tc>
        <w:tc>
          <w:tcPr>
            <w:tcW w:w="1120" w:type="dxa"/>
          </w:tcPr>
          <w:p w:rsidR="00880768" w:rsidRDefault="00880768" w:rsidP="00880768"/>
        </w:tc>
        <w:tc>
          <w:tcPr>
            <w:tcW w:w="1120" w:type="dxa"/>
          </w:tcPr>
          <w:p w:rsidR="00880768" w:rsidRDefault="00880768" w:rsidP="00880768"/>
        </w:tc>
      </w:tr>
    </w:tbl>
    <w:p w:rsidR="00880768" w:rsidRDefault="00880768" w:rsidP="00B52901">
      <w:pPr>
        <w:pStyle w:val="tabell-noter"/>
      </w:pPr>
      <w:r>
        <w:t xml:space="preserve">Kategoriar med berre ein tilsett er ikkje med i oversikta. Det er ein tilsett på leiarlønskontrakt som ikkje er med i </w:t>
      </w:r>
      <w:proofErr w:type="gramStart"/>
      <w:r>
        <w:t>denne oversikta</w:t>
      </w:r>
      <w:proofErr w:type="gramEnd"/>
      <w:r>
        <w:t>.</w:t>
      </w:r>
    </w:p>
    <w:p w:rsidR="00880768" w:rsidRDefault="00880768" w:rsidP="00880768">
      <w:pPr>
        <w:pStyle w:val="Overskrift2"/>
      </w:pPr>
      <w:r>
        <w:t>Vurdering og utgreiing av likestillingstiltak på grunnlag av kjønn, etnisk bakgrunn, religion og nedsett funksjonsevne</w:t>
      </w:r>
    </w:p>
    <w:p w:rsidR="00880768" w:rsidRDefault="00880768" w:rsidP="00880768">
      <w:pPr>
        <w:pStyle w:val="Overskrift3"/>
      </w:pPr>
      <w:r>
        <w:t>Olje- og energidepartementet</w:t>
      </w:r>
    </w:p>
    <w:p w:rsidR="00880768" w:rsidRDefault="00880768" w:rsidP="00880768">
      <w:pPr>
        <w:pStyle w:val="avsnitt-tittel"/>
      </w:pPr>
      <w:r>
        <w:t>Rekruttering</w:t>
      </w:r>
    </w:p>
    <w:p w:rsidR="00880768" w:rsidRDefault="00880768" w:rsidP="00880768">
      <w:r>
        <w:t xml:space="preserve">Målsetjinga er </w:t>
      </w:r>
      <w:proofErr w:type="gramStart"/>
      <w:r>
        <w:t>å</w:t>
      </w:r>
      <w:proofErr w:type="gramEnd"/>
      <w:r>
        <w:t xml:space="preserve"> halde ved lag kjønnsbalansen, og rekruttere fleire kvalifiserte kandidatar med in</w:t>
      </w:r>
      <w:r>
        <w:t>n</w:t>
      </w:r>
      <w:r>
        <w:t>vandrarbakgrunn og med nedsett funksjonsevne.</w:t>
      </w:r>
    </w:p>
    <w:p w:rsidR="00880768" w:rsidRDefault="00880768" w:rsidP="00880768">
      <w:r>
        <w:t>Resultatet er at departementet held ved lag ein god kjønnsbalanse, men opplever for få fagleg kv</w:t>
      </w:r>
      <w:r>
        <w:t>a</w:t>
      </w:r>
      <w:r>
        <w:t xml:space="preserve">lifiserte søkjarar med innvandrarbakgrunn eller nedsett funksjonsevne. </w:t>
      </w:r>
    </w:p>
    <w:p w:rsidR="00880768" w:rsidRDefault="00880768" w:rsidP="00880768">
      <w:pPr>
        <w:pStyle w:val="avsnitt-tittel"/>
      </w:pPr>
      <w:r>
        <w:t>Lønns- og arbeidsvilkår</w:t>
      </w:r>
    </w:p>
    <w:p w:rsidR="00880768" w:rsidRDefault="00880768" w:rsidP="00880768">
      <w:r>
        <w:t>Målsetjinga er å sikre ei kjønnsnøytral lønn og lik lønn for same arbeid eller arbeid av lik verdi.</w:t>
      </w:r>
    </w:p>
    <w:p w:rsidR="00880768" w:rsidRDefault="00880768" w:rsidP="00880768">
      <w:r>
        <w:t>Lønnsstatistikken syner at menn har høgare snittløn enn kvinner. Årsakene er samansette, men a</w:t>
      </w:r>
      <w:r>
        <w:t>l</w:t>
      </w:r>
      <w:r>
        <w:t>derssamansetjing og ansiennitet er noko av forklaringa.</w:t>
      </w:r>
    </w:p>
    <w:p w:rsidR="00880768" w:rsidRDefault="00880768" w:rsidP="00880768">
      <w:r>
        <w:t>Tiltak for å sikre likeløn er nedfelte i departementets personalpolitikk, lønnspolitikk og tilpa</w:t>
      </w:r>
      <w:r>
        <w:t>s</w:t>
      </w:r>
      <w:r>
        <w:t>singsavtale. Det blir gjort likelønnsvurderingar før dei årlege lokale lønnsforhandlingane baserte på kjønnsdelt lønnsstatistikk.</w:t>
      </w:r>
    </w:p>
    <w:p w:rsidR="00880768" w:rsidRDefault="00880768" w:rsidP="00880768">
      <w:pPr>
        <w:pStyle w:val="avsnitt-tittel"/>
      </w:pPr>
      <w:r>
        <w:t>Forfremjing</w:t>
      </w:r>
    </w:p>
    <w:p w:rsidR="00880768" w:rsidRDefault="00880768" w:rsidP="00880768">
      <w:r>
        <w:t>Målsetjinga er å få ei kjønnsfordeling på leiarnivå meir i tråd med kjønnsfordelinga i departeme</w:t>
      </w:r>
      <w:r>
        <w:t>n</w:t>
      </w:r>
      <w:r>
        <w:t>tet.</w:t>
      </w:r>
    </w:p>
    <w:p w:rsidR="00880768" w:rsidRDefault="00880768" w:rsidP="00880768">
      <w:r>
        <w:lastRenderedPageBreak/>
        <w:t>Personalstatistikken syner at departementet har få kvinner som avdelingsdirektørar, men har ein god balanse for underdirektørar.</w:t>
      </w:r>
    </w:p>
    <w:p w:rsidR="00880768" w:rsidRDefault="00880768" w:rsidP="00880768">
      <w:r>
        <w:t>Likestillingstillitsvalt får høve til å uttale seg i alle tilsetjingssaker og i den årlege personalst</w:t>
      </w:r>
      <w:r>
        <w:t>a</w:t>
      </w:r>
      <w:r>
        <w:t>tistikken om situasjonen i departementet når det gjeld likestillingsspørsmål.</w:t>
      </w:r>
    </w:p>
    <w:p w:rsidR="00880768" w:rsidRDefault="00880768" w:rsidP="00880768">
      <w:pPr>
        <w:pStyle w:val="avsnitt-tittel"/>
      </w:pPr>
      <w:r>
        <w:t>Høve til utvikling</w:t>
      </w:r>
    </w:p>
    <w:p w:rsidR="00880768" w:rsidRDefault="00880768" w:rsidP="00880768">
      <w:r>
        <w:t>Målsetjinga er å sikre ei god fagleg og personleg utvikling for alle tilsette.</w:t>
      </w:r>
    </w:p>
    <w:p w:rsidR="00880768" w:rsidRDefault="00880768" w:rsidP="00880768">
      <w:r>
        <w:t>Den enkelte leiar har hovudansvaret for at tilsette får nødvendig kompetanse for å utføre arbeid</w:t>
      </w:r>
      <w:r>
        <w:t>s</w:t>
      </w:r>
      <w:r>
        <w:t>oppgåver på ein tilfredsstillande måte. Den årlege medarbeidarsamtala er ein viktig arena for drø</w:t>
      </w:r>
      <w:r>
        <w:t>f</w:t>
      </w:r>
      <w:r>
        <w:t>ting av kompetansehevande tiltak.</w:t>
      </w:r>
    </w:p>
    <w:p w:rsidR="00880768" w:rsidRDefault="00880768" w:rsidP="00880768">
      <w:r>
        <w:t xml:space="preserve">Leiarar på alle nivå har eit særleg ansvar for </w:t>
      </w:r>
      <w:proofErr w:type="gramStart"/>
      <w:r>
        <w:t>å</w:t>
      </w:r>
      <w:proofErr w:type="gramEnd"/>
      <w:r>
        <w:t xml:space="preserve"> fremje medarbeidarane si faglege og personlege u</w:t>
      </w:r>
      <w:r>
        <w:t>t</w:t>
      </w:r>
      <w:r>
        <w:t>vikling. Den faglege og personlege kompetansen til kvar enkelt medarbeidar skal vere best moge</w:t>
      </w:r>
      <w:r>
        <w:t>l</w:t>
      </w:r>
      <w:r>
        <w:t xml:space="preserve">eg tilpassa departementet sine mål og oppgåver. </w:t>
      </w:r>
    </w:p>
    <w:p w:rsidR="00880768" w:rsidRDefault="00880768" w:rsidP="00880768">
      <w:pPr>
        <w:pStyle w:val="avsnitt-tittel"/>
      </w:pPr>
      <w:r>
        <w:t>Vern mot trakassering</w:t>
      </w:r>
    </w:p>
    <w:p w:rsidR="00880768" w:rsidRDefault="00880768" w:rsidP="00880768">
      <w:r>
        <w:t xml:space="preserve">Arbeidsmiljøundersøking og medarbeidarsamtaler </w:t>
      </w:r>
      <w:proofErr w:type="gramStart"/>
      <w:r>
        <w:t>blir</w:t>
      </w:r>
      <w:proofErr w:type="gramEnd"/>
      <w:r>
        <w:t xml:space="preserve"> </w:t>
      </w:r>
      <w:proofErr w:type="gramStart"/>
      <w:r>
        <w:t>gjennomførte</w:t>
      </w:r>
      <w:proofErr w:type="gramEnd"/>
      <w:r>
        <w:t>. Departementet har eigne varslingsrutinar i medhald av Arbeidsmiljølova, og følgjer lov- og avtaleverk knytt til verneombod, helseteneste o.a.</w:t>
      </w:r>
    </w:p>
    <w:p w:rsidR="00880768" w:rsidRDefault="00880768" w:rsidP="00880768">
      <w:pPr>
        <w:pStyle w:val="Overskrift3"/>
      </w:pPr>
      <w:r>
        <w:t>Oljedirektoratet</w:t>
      </w:r>
    </w:p>
    <w:p w:rsidR="00880768" w:rsidRDefault="00880768" w:rsidP="00880768">
      <w:pPr>
        <w:pStyle w:val="avsnitt-tittel"/>
      </w:pPr>
      <w:r>
        <w:t>Rekruttering</w:t>
      </w:r>
    </w:p>
    <w:p w:rsidR="00880768" w:rsidRDefault="00880768" w:rsidP="00880768">
      <w:r>
        <w:t xml:space="preserve">Oljedirektoratet (OD) skal ha fokus på </w:t>
      </w:r>
      <w:proofErr w:type="gramStart"/>
      <w:r>
        <w:t>å</w:t>
      </w:r>
      <w:proofErr w:type="gramEnd"/>
      <w:r>
        <w:t xml:space="preserve"> halde ved lag ei jamn fordeling mellom kvinner og menn ved rekruttering til OD. Det skal rettast merksemd mot søkjarar med annan etnisk bakgrunn og kandidatar med nedsett funksjonsevne. </w:t>
      </w:r>
    </w:p>
    <w:p w:rsidR="00880768" w:rsidRDefault="00880768" w:rsidP="00880768">
      <w:r>
        <w:t>Målsetjinga er å motverke at det oppstår eller blir ført vidare utilsikta mønster ved rekruttering</w:t>
      </w:r>
      <w:r>
        <w:t>s</w:t>
      </w:r>
      <w:r>
        <w:t>prosessar.</w:t>
      </w:r>
    </w:p>
    <w:p w:rsidR="00880768" w:rsidRDefault="00880768" w:rsidP="00880768">
      <w:r>
        <w:t xml:space="preserve">Det er ingen funn no når det gjeld likestilling som tilseier spesielle tiltak knytte til rekruttering. </w:t>
      </w:r>
    </w:p>
    <w:p w:rsidR="00880768" w:rsidRDefault="00880768" w:rsidP="00880768">
      <w:r>
        <w:t>Det er ikkje rekruttert inn ny fast kompetanse med annan etnisk bakgrunn eller med redusert fun</w:t>
      </w:r>
      <w:r>
        <w:t>k</w:t>
      </w:r>
      <w:r>
        <w:t xml:space="preserve">sjonsevne i 2017. </w:t>
      </w:r>
    </w:p>
    <w:p w:rsidR="00880768" w:rsidRDefault="00880768" w:rsidP="00880768">
      <w:pPr>
        <w:pStyle w:val="avsnitt-tittel"/>
      </w:pPr>
      <w:r>
        <w:t>Lønns- og arbeidsvilkår</w:t>
      </w:r>
    </w:p>
    <w:p w:rsidR="00880768" w:rsidRDefault="00880768" w:rsidP="00880768">
      <w:r>
        <w:t xml:space="preserve">Leiinga skal ha fokus på å finne årsaker til dokumenterte lønnsskilnader mellom kjønna med tanke på å justere lønnsnivået der det er grunnlag for det. Dette har vore fokus ved lokale lønnsoppgjer dei siste åra. </w:t>
      </w:r>
    </w:p>
    <w:p w:rsidR="00880768" w:rsidRDefault="00880768" w:rsidP="00880768">
      <w:r>
        <w:t xml:space="preserve">I OD tente menn 11 prosentpoeng meir enn kvinner ved utgangen av 2017, </w:t>
      </w:r>
      <w:proofErr w:type="gramStart"/>
      <w:r>
        <w:t>det</w:t>
      </w:r>
      <w:proofErr w:type="gramEnd"/>
      <w:r>
        <w:t xml:space="preserve"> same som i 2016. Tendensen er at avstanden har minka noko dei seinare år. Målsetjinga er å sikre ei kjønnsnøytral lønn i OD, jf. utdanning, kvalifikasjonar, alder, ansvar, oppgåver og avtalte kriterium.</w:t>
      </w:r>
    </w:p>
    <w:p w:rsidR="00880768" w:rsidRDefault="00880768" w:rsidP="00880768">
      <w:pPr>
        <w:pStyle w:val="avsnitt-tittel"/>
      </w:pPr>
      <w:r>
        <w:t>Forfremjing</w:t>
      </w:r>
    </w:p>
    <w:p w:rsidR="00880768" w:rsidRDefault="00880768" w:rsidP="00880768">
      <w:r>
        <w:t xml:space="preserve">Etatsleiar skal oppmode kvinner til å melde </w:t>
      </w:r>
      <w:proofErr w:type="gramStart"/>
      <w:r>
        <w:t>si</w:t>
      </w:r>
      <w:proofErr w:type="gramEnd"/>
      <w:r>
        <w:t xml:space="preserve"> interesse for direktørfunksjonar.</w:t>
      </w:r>
    </w:p>
    <w:p w:rsidR="00880768" w:rsidRDefault="00880768" w:rsidP="00880768">
      <w:r>
        <w:t xml:space="preserve">Forfremjing er i OD definert som rotasjon til mellombelse leiingsfunksjonar. Vurderingar knytte til eventuelle barrierar for forfremjing er, ut frå OD sine tilhøve, i hovudsak gjort i høve til kjønn. OD hadde per 31. desember 2017 totalt sett fleire kvinner enn menn i direktørfunksjonane. </w:t>
      </w:r>
    </w:p>
    <w:p w:rsidR="00880768" w:rsidRDefault="00880768" w:rsidP="00880768">
      <w:pPr>
        <w:pStyle w:val="avsnitt-tittel"/>
      </w:pPr>
      <w:r>
        <w:lastRenderedPageBreak/>
        <w:t>Høve til utvikling</w:t>
      </w:r>
    </w:p>
    <w:p w:rsidR="00880768" w:rsidRDefault="00880768" w:rsidP="00880768">
      <w:r>
        <w:t xml:space="preserve">Leiinga skal ha fokus på den enkelte medarbeidar sin faglege utviklingsplan ved bemanning av lag. Leiinga skal i aktuelle høve oppmode kandidatar til å melde </w:t>
      </w:r>
      <w:proofErr w:type="gramStart"/>
      <w:r>
        <w:t>si</w:t>
      </w:r>
      <w:proofErr w:type="gramEnd"/>
      <w:r>
        <w:t xml:space="preserve"> interesse for å gå inn i aktuelle lag i tråd med den faglege utviklingsplanen. Leiinga og fagkoordinatorar skal fokusere likestillingsa</w:t>
      </w:r>
      <w:r>
        <w:t>s</w:t>
      </w:r>
      <w:r>
        <w:t>pektet ved bruk av opplæringsmidlar. Vidare har leiinga temaet likestilling som årleg fokus.</w:t>
      </w:r>
    </w:p>
    <w:p w:rsidR="00880768" w:rsidRDefault="00880768" w:rsidP="00880768">
      <w:r>
        <w:t>Behov for rekruttering av lag blir lyst ledig på intranettet, og ressursstyringa blir konkludert i leiarmøte mellom anna etter råd frå fagkoordinatorar. Den enkelte medarbeidaren sin faglege u</w:t>
      </w:r>
      <w:r>
        <w:t>t</w:t>
      </w:r>
      <w:r>
        <w:t>viklingsplan inngår som element. For å sikre ei god utvikling for den enkelte, skal OD fokusere på at den enkelte sin faglege utviklingsplan blir teken vare på ved rekruttering av lag.</w:t>
      </w:r>
    </w:p>
    <w:p w:rsidR="00880768" w:rsidRDefault="00880768" w:rsidP="00880768">
      <w:r>
        <w:t xml:space="preserve">Målsetjinga er å sikre ei god utvikling for alle. </w:t>
      </w:r>
    </w:p>
    <w:p w:rsidR="00880768" w:rsidRDefault="00880768" w:rsidP="00880768">
      <w:pPr>
        <w:pStyle w:val="avsnitt-tittel"/>
      </w:pPr>
      <w:r>
        <w:t>Vern mot trakassering</w:t>
      </w:r>
    </w:p>
    <w:p w:rsidR="00880768" w:rsidRDefault="00880768" w:rsidP="00880768">
      <w:r>
        <w:t xml:space="preserve">Arbeidsmiljøundersøking og medarbeidarsamtalar er tiltak for </w:t>
      </w:r>
      <w:proofErr w:type="gramStart"/>
      <w:r>
        <w:t>å</w:t>
      </w:r>
      <w:proofErr w:type="gramEnd"/>
      <w:r>
        <w:t xml:space="preserve"> avdekkje trakassering og vern mot dette. Denne blir følgt opp med relevante tiltak. </w:t>
      </w:r>
    </w:p>
    <w:p w:rsidR="00880768" w:rsidRDefault="00880768" w:rsidP="00880768">
      <w:r>
        <w:t>Målsetjinga er å syte for at alle har eit godt arbeidsmiljø.</w:t>
      </w:r>
    </w:p>
    <w:p w:rsidR="00880768" w:rsidRDefault="00880768" w:rsidP="00880768">
      <w:r>
        <w:t>Arbeidsmiljøundersøking blir gjennomført jamleg, og medarbeidarsamtaler blir gjennomførte å</w:t>
      </w:r>
      <w:r>
        <w:t>r</w:t>
      </w:r>
      <w:r>
        <w:t>leg.</w:t>
      </w:r>
    </w:p>
    <w:p w:rsidR="00880768" w:rsidRDefault="00880768" w:rsidP="00880768">
      <w:pPr>
        <w:pStyle w:val="Overskrift3"/>
      </w:pPr>
      <w:r>
        <w:t>Noregs vassdrags- og energidirektorat</w:t>
      </w:r>
    </w:p>
    <w:p w:rsidR="00880768" w:rsidRDefault="00880768" w:rsidP="00880768">
      <w:pPr>
        <w:pStyle w:val="avsnitt-tittel"/>
      </w:pPr>
      <w:r>
        <w:t>Rekruttering</w:t>
      </w:r>
    </w:p>
    <w:p w:rsidR="00880768" w:rsidRDefault="00880768" w:rsidP="00880768">
      <w:r>
        <w:t xml:space="preserve">Det er eit personalpolitisk mål </w:t>
      </w:r>
      <w:proofErr w:type="gramStart"/>
      <w:r>
        <w:t>å</w:t>
      </w:r>
      <w:proofErr w:type="gramEnd"/>
      <w:r>
        <w:t xml:space="preserve"> spegle samfunnets samansetjing i alder, kjønn og kulturell ba</w:t>
      </w:r>
      <w:r>
        <w:t>k</w:t>
      </w:r>
      <w:r>
        <w:t>grunn. NVE er tilknytt avtala om inkluderande arbeidsliv og legg forholda til rette for medarbe</w:t>
      </w:r>
      <w:r>
        <w:t>i</w:t>
      </w:r>
      <w:r>
        <w:t>darar med nedsett funksjonsevne.</w:t>
      </w:r>
    </w:p>
    <w:p w:rsidR="00880768" w:rsidRDefault="00880768" w:rsidP="00880768">
      <w:r>
        <w:t>NVE kunngjer i fleire typar medium, har ei mangfaldserklæring i utlysingsteksten, kallar inn kval</w:t>
      </w:r>
      <w:r>
        <w:t>i</w:t>
      </w:r>
      <w:r>
        <w:t>fiserte søkarar frå underrepresenterte grupper til intervju og sikrar likeverdig behandling i intervjua. Vedtak om tilsetting blir gjort av eit tilsettingsråd med representantar frå både leiinga og meda</w:t>
      </w:r>
      <w:r>
        <w:t>r</w:t>
      </w:r>
      <w:r>
        <w:t xml:space="preserve">beidarar (tenestemannsorganisasjonar). NVE legg vekt på å ha ei bevisst haldning om å inkludere menneske med redusert funksjonsnivå. Stillingsannonsar blir lagde ut på jobbforalle.no om stillinga ikkje set spesielle krav til </w:t>
      </w:r>
      <w:proofErr w:type="gramStart"/>
      <w:r>
        <w:t>å</w:t>
      </w:r>
      <w:proofErr w:type="gramEnd"/>
      <w:r>
        <w:t xml:space="preserve"> vere funksjonsfrisk.</w:t>
      </w:r>
    </w:p>
    <w:p w:rsidR="00880768" w:rsidRDefault="00880768" w:rsidP="00880768">
      <w:r>
        <w:t>Resultatet av tiltaka kan mellom anna målast i ein stadig aukande del kvinner i NVE. Av 25 faste tilsetjingar i 2017 var det 11 kvinner (44 prosent).</w:t>
      </w:r>
    </w:p>
    <w:p w:rsidR="00880768" w:rsidRDefault="00880768" w:rsidP="00880768">
      <w:r>
        <w:t xml:space="preserve">NVE er ei verksemd der mange tilsette kjem frå fagmiljø som tidlegare har vore sterkt dominerte av menn. Rekrutteringa frå desse fagmiljøa har av den grunn òg vore dominert av menn. Dei seinare åra har vi sett ei endring, og det er fleire kvinner som har den kompetansen NVE treng. </w:t>
      </w:r>
    </w:p>
    <w:p w:rsidR="00880768" w:rsidRDefault="00880768" w:rsidP="00880768">
      <w:r>
        <w:t xml:space="preserve">Det er eit mål i NVE å få fleire kvinnelege leiarar. I dag er det 39 prosent kvinner, ei svært positiv utvikling dei siste åra (14,7 prosent i 2007 og 21 prosent i 2010). Under elles like forhold har NVE prioritert kvinner til ledige leiarstillingar. </w:t>
      </w:r>
    </w:p>
    <w:p w:rsidR="00880768" w:rsidRDefault="00880768" w:rsidP="00880768">
      <w:pPr>
        <w:pStyle w:val="avsnitt-tittel"/>
      </w:pPr>
      <w:r>
        <w:t>Lønns- og arbeidsvilkår</w:t>
      </w:r>
    </w:p>
    <w:p w:rsidR="00880768" w:rsidRDefault="00880768" w:rsidP="00880768">
      <w:r>
        <w:t>Kvinner og menn skal ha lik lønn for same arbeid eller arbeid av lik verdi. NVE har ikkje avdekt store lønnsskilnader som følgje av kjønn. Kvinner har same lønns- og stillingsutvikling på ba</w:t>
      </w:r>
      <w:r>
        <w:t>k</w:t>
      </w:r>
      <w:r>
        <w:t>grunn av utdanning, erfaring og alder som menn. Målsetjinga er at dette held fram. NVE overvakar derfor likelønnssituasjonen og kartlegg jamleg for å kunne oppdage eventuelle utilsikta lønnsfo</w:t>
      </w:r>
      <w:r>
        <w:t>r</w:t>
      </w:r>
      <w:r>
        <w:t>skjellar.</w:t>
      </w:r>
    </w:p>
    <w:p w:rsidR="00880768" w:rsidRDefault="00880768" w:rsidP="00880768">
      <w:r>
        <w:lastRenderedPageBreak/>
        <w:t xml:space="preserve">NVE har digital HMS-handbok, personalhandbok og leiarhandbok. Leiarhandboka skal medverke til å hjelpe og rettleie NVEs leiarar med oppfølginga av sine medarbeidarar. Lett tilgjengeleg og alltid oppdatert informasjon er føreseieleg og trygt. Det medverkar til lik behandling av dei tilsette og synleggjer NVEs personalpolitikk. </w:t>
      </w:r>
    </w:p>
    <w:p w:rsidR="00880768" w:rsidRDefault="00880768" w:rsidP="00880768">
      <w:r>
        <w:t xml:space="preserve">NVE utfører jamlege arbeidsmiljøundersøkingar. </w:t>
      </w:r>
      <w:proofErr w:type="gramStart"/>
      <w:r>
        <w:t>Det</w:t>
      </w:r>
      <w:proofErr w:type="gramEnd"/>
      <w:r>
        <w:t xml:space="preserve"> vert lagt vekt på ei god oppfølging av m</w:t>
      </w:r>
      <w:r>
        <w:t>å</w:t>
      </w:r>
      <w:r>
        <w:t>linga.</w:t>
      </w:r>
    </w:p>
    <w:p w:rsidR="00880768" w:rsidRDefault="00880768" w:rsidP="00880768">
      <w:pPr>
        <w:pStyle w:val="avsnitt-tittel"/>
      </w:pPr>
      <w:r>
        <w:t>Høve til utvikling</w:t>
      </w:r>
    </w:p>
    <w:p w:rsidR="00880768" w:rsidRDefault="00880768" w:rsidP="00880768">
      <w:r>
        <w:t xml:space="preserve">NVEs </w:t>
      </w:r>
      <w:proofErr w:type="gramStart"/>
      <w:r>
        <w:t>tilsette</w:t>
      </w:r>
      <w:proofErr w:type="gramEnd"/>
      <w:r>
        <w:t xml:space="preserve"> har alle dei same høva til forfremjing og utvikling, uavhengig av kjønn, etnisitet, funksjonsevne osv. Det er ikkje avdekt noko som tilseier at dette bør utgreiast nærare i NVE.</w:t>
      </w:r>
    </w:p>
    <w:p w:rsidR="00880768" w:rsidRDefault="00880768" w:rsidP="00880768">
      <w:pPr>
        <w:pStyle w:val="avsnitt-tittel"/>
      </w:pPr>
      <w:r>
        <w:t xml:space="preserve">Tiltak mot trakassering og diskriminering </w:t>
      </w:r>
    </w:p>
    <w:p w:rsidR="00880768" w:rsidRDefault="00880768" w:rsidP="00880768">
      <w:r>
        <w:t>NVE har ei klar haldning mot trakassering og diskriminering. NVE sine retningslinjer mot traka</w:t>
      </w:r>
      <w:r>
        <w:t>s</w:t>
      </w:r>
      <w:r>
        <w:t>sering og diskriminering er forankra i personalpolitiske retningslinjer, etiske retningslinjer, lønn</w:t>
      </w:r>
      <w:r>
        <w:t>s</w:t>
      </w:r>
      <w:r>
        <w:t xml:space="preserve">politikken og i instruks for IKT-tryggleik. NVE gjennomfører kurs for alle leiarar, verneombod </w:t>
      </w:r>
      <w:proofErr w:type="gramStart"/>
      <w:r>
        <w:t>og</w:t>
      </w:r>
      <w:proofErr w:type="gramEnd"/>
      <w:r>
        <w:t xml:space="preserve"> tillitsvalde i førebygging og handtering av konfliktar.</w:t>
      </w:r>
    </w:p>
    <w:p w:rsidR="00880768" w:rsidRDefault="00880768" w:rsidP="00880768">
      <w:pPr>
        <w:pStyle w:val="Overskrift2"/>
      </w:pPr>
      <w:r>
        <w:t>Oppfølging av IA-avtala</w:t>
      </w:r>
    </w:p>
    <w:p w:rsidR="00880768" w:rsidRDefault="00880768" w:rsidP="00880768">
      <w:pPr>
        <w:pStyle w:val="avsnitt-tittel"/>
      </w:pPr>
      <w:r>
        <w:t>Olje- og energidepartementet</w:t>
      </w:r>
    </w:p>
    <w:p w:rsidR="00880768" w:rsidRDefault="00880768" w:rsidP="00880768">
      <w:r>
        <w:t>Olje- og energidepartementet har utarbeidd ein handlingsplan for arbeid med eit meir inkluderande arbeidsliv 2014–2018. Det er sett delmål for sjukefråvær (ikkje overstige 4 prosent), for arbeidst</w:t>
      </w:r>
      <w:r>
        <w:t>a</w:t>
      </w:r>
      <w:r>
        <w:t>karar med redusert funksjonsevne og for å få arbeidstakarar til å bli lengre i jobben.</w:t>
      </w:r>
    </w:p>
    <w:p w:rsidR="00880768" w:rsidRDefault="00880768" w:rsidP="00880768">
      <w:r>
        <w:t>Samla sjukefråvær er på 4,1 prosent i 2017 samanlikna med 3,7 prosent i 2016.</w:t>
      </w:r>
    </w:p>
    <w:p w:rsidR="00880768" w:rsidRDefault="00880768" w:rsidP="00880768">
      <w:pPr>
        <w:pStyle w:val="avsnitt-tittel"/>
      </w:pPr>
      <w:r>
        <w:t>Oljedirektoratet</w:t>
      </w:r>
    </w:p>
    <w:p w:rsidR="00880768" w:rsidRDefault="00880768" w:rsidP="00880768">
      <w:r>
        <w:t xml:space="preserve">Samla sjukefråvær i OD for 2017 var på 3,6 prosent. Det er fokus både på førebygging og god oppfølging ved sjukdom. </w:t>
      </w:r>
    </w:p>
    <w:p w:rsidR="00880768" w:rsidRDefault="00880768" w:rsidP="00880768">
      <w:r>
        <w:t xml:space="preserve">Målet om å motivere seniormedarbeidarar til </w:t>
      </w:r>
      <w:proofErr w:type="gramStart"/>
      <w:r>
        <w:t>å</w:t>
      </w:r>
      <w:proofErr w:type="gramEnd"/>
      <w:r>
        <w:t xml:space="preserve"> utsetje tidspunktet for pensjon er vanskeleg å måle. Det skal vere god dialog med medarbeidarar som nærmar seg ein alder der dei kan velje å gå av med pensjon, anten ved AFP eller alderspensjon, for å avklare motivasjon og eventuelle individ</w:t>
      </w:r>
      <w:r>
        <w:t>u</w:t>
      </w:r>
      <w:r>
        <w:t>elle tiltak. Vi har elles gode kollektive ordningar i staten med ekstra ferie og seniordagar. OD har òg tilbod om økonomisk rådgiving og pensjonsførebuande kurs. I 2017 var gjennomsnittsalderen for pensjonering 66,3 år.</w:t>
      </w:r>
    </w:p>
    <w:p w:rsidR="00880768" w:rsidRDefault="00880768" w:rsidP="00880768">
      <w:r>
        <w:t>Det er ikkje rekruttert medarbeidarar med nedsett funksjonsevne til faste stillingar eller til praksi</w:t>
      </w:r>
      <w:r>
        <w:t>s</w:t>
      </w:r>
      <w:r>
        <w:t>plassar via NAV i 2017. OD har som mål å ta godt vare på medarbeidarar med nedsett funksjon</w:t>
      </w:r>
      <w:r>
        <w:t>s</w:t>
      </w:r>
      <w:r>
        <w:t>evne for å hindre fråfall.</w:t>
      </w:r>
    </w:p>
    <w:p w:rsidR="00880768" w:rsidRDefault="00880768" w:rsidP="00880768">
      <w:r>
        <w:t xml:space="preserve">I tillegg til dei tre </w:t>
      </w:r>
      <w:proofErr w:type="gramStart"/>
      <w:r>
        <w:t>måla</w:t>
      </w:r>
      <w:proofErr w:type="gramEnd"/>
      <w:r>
        <w:t xml:space="preserve"> i den sentrale IA-avtala har OD eit punkt om arbeidstrening via NAV. I 2017 hadde OD fem på slik arbeidstrening via NAV. </w:t>
      </w:r>
    </w:p>
    <w:p w:rsidR="00880768" w:rsidRDefault="00880768" w:rsidP="00880768">
      <w:pPr>
        <w:pStyle w:val="avsnitt-tittel"/>
      </w:pPr>
      <w:r>
        <w:t>Noregs vassdrags- og energidirektorat</w:t>
      </w:r>
    </w:p>
    <w:p w:rsidR="00880768" w:rsidRDefault="00880768" w:rsidP="00880768">
      <w:r>
        <w:t>IA-utvalet er avvikla i NVE. Det blir rapportert direkte til AMU. I tillegg blir det årleg halde to IA-møte med leiinga og tenestemannsorganisasjonane. Leiaren og HR-eininga sitt oppfølgingsa</w:t>
      </w:r>
      <w:r>
        <w:t>n</w:t>
      </w:r>
      <w:r>
        <w:t xml:space="preserve">svar er tydeleggjort og blir </w:t>
      </w:r>
      <w:proofErr w:type="gramStart"/>
      <w:r>
        <w:t>betre</w:t>
      </w:r>
      <w:proofErr w:type="gramEnd"/>
      <w:r>
        <w:t xml:space="preserve"> følgt opp, mellom anna gjennom betre verktøy. </w:t>
      </w:r>
    </w:p>
    <w:p w:rsidR="00880768" w:rsidRDefault="00880768" w:rsidP="00880768">
      <w:r>
        <w:lastRenderedPageBreak/>
        <w:t>Det er eit personalpolitisk mål at alle tilsette i NVE skal få tilbod om ein arbeidsplass som er ti</w:t>
      </w:r>
      <w:r>
        <w:t>l</w:t>
      </w:r>
      <w:r>
        <w:t>passa slik at dei kan gjere ein god jobb.</w:t>
      </w:r>
    </w:p>
    <w:p w:rsidR="00880768" w:rsidRDefault="00880768" w:rsidP="00880768">
      <w:r>
        <w:t>NVE er ei IA-verksemd og vil leggje forholda til rette for medarbeidarar med nedsett funksjonse</w:t>
      </w:r>
      <w:r>
        <w:t>v</w:t>
      </w:r>
      <w:r>
        <w:t>ne. NVE har moderne lokale som er lagt til rette for rørslehemma. I handlingsplanen for IA-arbeid i NVE 2014–2017 er eitt av måla å bidra til at menneske med utfordringar i arbeidslivet får høve til reell arbeidspraksis, med tanke på at dei skal ut i eller tilbake i ordinært arbeid. NVE legg vekt på å ha ei bevisst haldning til å inkludere menneske med nedsett funksjonsevne.</w:t>
      </w:r>
    </w:p>
    <w:p w:rsidR="00880768" w:rsidRDefault="00880768" w:rsidP="00880768">
      <w:r>
        <w:t xml:space="preserve">NVE vil halde fram </w:t>
      </w:r>
      <w:proofErr w:type="gramStart"/>
      <w:r>
        <w:t>å</w:t>
      </w:r>
      <w:proofErr w:type="gramEnd"/>
      <w:r>
        <w:t xml:space="preserve"> følgje opp den tilsette ved sjukefråvær, spesielt ved langtidsfråvær, og vere særs merksam på arbeidsmengda i avdelingane. Førebyggje, leggje til rette og følgje opp fråvær er tiltak i handlingsplanen for IA-arbeid i NVE.</w:t>
      </w:r>
    </w:p>
    <w:p w:rsidR="00880768" w:rsidRDefault="00880768" w:rsidP="00880768">
      <w:r>
        <w:t>Dei siste åra har NVE hatt særleg merksemd på førebygging av sjukefråvær, mellom anna ved e</w:t>
      </w:r>
      <w:r>
        <w:t>r</w:t>
      </w:r>
      <w:r>
        <w:t>gonomisk vurdering av arbeidsplassen for å hindre belastingsplager. I tillegg tilbyr vi oppfølging med mellom anna coach, psykolog og psykomotorisk fysioterapeut, både i oppfølginga av sj</w:t>
      </w:r>
      <w:r>
        <w:t>u</w:t>
      </w:r>
      <w:r>
        <w:t>kefråvær og som eit førebyggande tiltak. Tilbodet vart gitt i regi av bedriftshelsetenesta vår.</w:t>
      </w:r>
    </w:p>
    <w:p w:rsidR="00880768" w:rsidRDefault="00880768" w:rsidP="00880768">
      <w:r>
        <w:t>Sjukefråværet i NVE er stabilt lågt. Det totale sjukefråværet i 2017 var på 3,69 prosent.</w:t>
      </w:r>
    </w:p>
    <w:p w:rsidR="00880768" w:rsidRDefault="00880768" w:rsidP="00880768">
      <w:pPr>
        <w:pStyle w:val="Overskrift1"/>
      </w:pPr>
      <w:r>
        <w:t xml:space="preserve">Tilsetjingsvilkår for leiarar i heileigde statlege føretak under Olje- og energidepartementet </w:t>
      </w:r>
    </w:p>
    <w:p w:rsidR="00880768" w:rsidRDefault="00880768" w:rsidP="00880768">
      <w:pPr>
        <w:pStyle w:val="Overskrift2"/>
      </w:pPr>
      <w:r>
        <w:t>Gassnova SF</w:t>
      </w:r>
    </w:p>
    <w:p w:rsidR="00880768" w:rsidRDefault="00880768" w:rsidP="00880768">
      <w:r>
        <w:t xml:space="preserve">Administrerande direktør Trude Sundset hadde ein lønn på 2 147 591 kroner i 2017. I tillegg fekk ho 117 572 kroner i anna godtgjersle. Kostnadsførte pensjonsforpliktingar var 216 295 kroner. </w:t>
      </w:r>
    </w:p>
    <w:p w:rsidR="00880768" w:rsidRDefault="00880768" w:rsidP="00880768">
      <w:r>
        <w:t>Administrerande direktør si pensjonsordning er basert på Statens pensjonskasses til ei kvar tid gjeldande reglar for pensjonsalder og aldersgrense, og samla kompensasjonsgrad skal ikkje ove</w:t>
      </w:r>
      <w:r>
        <w:t>r</w:t>
      </w:r>
      <w:r>
        <w:t>stige 66 prosent av lønna, og då avgrensa til 12 G.</w:t>
      </w:r>
    </w:p>
    <w:p w:rsidR="00880768" w:rsidRDefault="00880768" w:rsidP="00880768">
      <w:r>
        <w:t>Administrerande direktør har krav på etterlønn i seks månader utover oppseiingstida på seks m</w:t>
      </w:r>
      <w:r>
        <w:t>å</w:t>
      </w:r>
      <w:r>
        <w:t>nader dersom styret vedtek å avslutte arbeidsavtala. Ved eventuell tilsetjing i ny stilling skal ette</w:t>
      </w:r>
      <w:r>
        <w:t>r</w:t>
      </w:r>
      <w:r>
        <w:t>lønna reduserast tilsvarande.</w:t>
      </w:r>
    </w:p>
    <w:p w:rsidR="00880768" w:rsidRDefault="00880768" w:rsidP="00880768">
      <w:pPr>
        <w:pStyle w:val="Overskrift2"/>
      </w:pPr>
      <w:r>
        <w:t>Statnett SF</w:t>
      </w:r>
    </w:p>
    <w:p w:rsidR="00880768" w:rsidRDefault="00880768" w:rsidP="00880768">
      <w:r>
        <w:t xml:space="preserve">Konsernsjef Auke Lont hadde ein lønn på 2 965 666 kroner i 2017. I tillegg fekk han 183 234 kroner i anna godtgjersle. Kostnadsførte pensjonsforpliktingar var 2 152 461 kroner. </w:t>
      </w:r>
    </w:p>
    <w:p w:rsidR="00880768" w:rsidRDefault="00880768" w:rsidP="00880768">
      <w:r>
        <w:t xml:space="preserve">Pensjonsalder er 65 år for konsernsjef og pensjonen utgjer 66 prosent av pensjonsgrunnlaget. </w:t>
      </w:r>
    </w:p>
    <w:p w:rsidR="00880768" w:rsidRDefault="00880768" w:rsidP="00880768">
      <w:r>
        <w:t xml:space="preserve">Konsernsjef har krav på etterlønn i tolv månader utover oppseiingstida på seks månader dersom styret vedtek å avslutte arbeidsavtala. </w:t>
      </w:r>
    </w:p>
    <w:p w:rsidR="00880768" w:rsidRDefault="00880768" w:rsidP="00880768">
      <w:pPr>
        <w:pStyle w:val="Overskrift2"/>
      </w:pPr>
      <w:r>
        <w:t>Petoro AS</w:t>
      </w:r>
    </w:p>
    <w:p w:rsidR="00880768" w:rsidRDefault="00880768" w:rsidP="00880768">
      <w:r>
        <w:t xml:space="preserve">Administrerande direktør Grethe K. Moen hadde ein lønn på 3 291 000 kroner i 2017. I tillegg fekk ho 383 000 kroner i anna godtgjersle. Kostnadsførte pensjonsforpliktingar var 2 113 000 kroner. </w:t>
      </w:r>
    </w:p>
    <w:p w:rsidR="00880768" w:rsidRDefault="00880768" w:rsidP="00880768">
      <w:r>
        <w:t xml:space="preserve">Pensjonsalder til administrerande direktør er 67 år. Pensjonsytinga er berekna til om lag 66 prosent av pensjonsgrunnlaget fråtrekt ei berekna yting frå folketrygda. </w:t>
      </w:r>
    </w:p>
    <w:p w:rsidR="00880768" w:rsidRDefault="00880768" w:rsidP="00880768">
      <w:r>
        <w:t>I medhald av tilsetjingsavtala gjeld ei gjensidig oppseiingstid på seks månader. Det er inngått avt</w:t>
      </w:r>
      <w:r>
        <w:t>a</w:t>
      </w:r>
      <w:r>
        <w:t>le om etterlønn utover oppseiingstida på tolv månader.</w:t>
      </w:r>
    </w:p>
    <w:p w:rsidR="00880768" w:rsidRDefault="00880768" w:rsidP="00880768">
      <w:pPr>
        <w:pStyle w:val="Overskrift2"/>
      </w:pPr>
      <w:r>
        <w:lastRenderedPageBreak/>
        <w:t>Gassco AS</w:t>
      </w:r>
    </w:p>
    <w:p w:rsidR="00880768" w:rsidRDefault="00880768" w:rsidP="00880768">
      <w:r>
        <w:t xml:space="preserve">Administrerande direktør Frode Leversund hadde ein lønn på 3 105 000 i 2017. I tillegg fekk han 258 000 kroner i bonus og 9 000 kroner i anna godtgjersle. Kostnadsførte pensjonsforpliktingar var 181 000 kroner. </w:t>
      </w:r>
    </w:p>
    <w:p w:rsidR="00880768" w:rsidRDefault="00880768" w:rsidP="00880768">
      <w:r>
        <w:t>Administrerande direktør har ei bonusordning som kan gi inntil 10 prosent av fastlønn i bonus de</w:t>
      </w:r>
      <w:r>
        <w:t>r</w:t>
      </w:r>
      <w:r>
        <w:t>som avtalte mål blir oppnådde. Administrerande direktør har ein pensjonsalder på 67 år og er me</w:t>
      </w:r>
      <w:r>
        <w:t>d</w:t>
      </w:r>
      <w:r>
        <w:t>lem av selskapets kollektive, ytelsesbaserte pensjonsordning som gir en pensjon på 66 prosent av pensjonsgrunnlaget etter full opptening på 30 år. Han har ikke pensjonsopptening for lønn over 12 G.</w:t>
      </w:r>
    </w:p>
    <w:p w:rsidR="00880768" w:rsidRDefault="00880768" w:rsidP="00880768">
      <w:r>
        <w:t>Gjensidig oppseiingstid er seks månader. Han har ikkje avtale om etterlønn.</w:t>
      </w:r>
    </w:p>
    <w:p w:rsidR="00880768" w:rsidRDefault="00880768" w:rsidP="00880768">
      <w:pPr>
        <w:pStyle w:val="a-tilraar-dep"/>
      </w:pPr>
      <w:r>
        <w:t>Olje- og energidepartementet</w:t>
      </w:r>
    </w:p>
    <w:p w:rsidR="00880768" w:rsidRDefault="00880768" w:rsidP="00880768">
      <w:pPr>
        <w:pStyle w:val="a-tilraar-tit"/>
      </w:pPr>
      <w:r>
        <w:t>tilrår:</w:t>
      </w:r>
    </w:p>
    <w:p w:rsidR="00880768" w:rsidRDefault="00880768" w:rsidP="00880768">
      <w:r>
        <w:t>I Prop. 1 S (2018–2019) om statsbudsjettet for år 2019 føres opp de forslag til vedtak som er nevnt i et framlagt forslag.</w:t>
      </w:r>
    </w:p>
    <w:p w:rsidR="00880768" w:rsidRDefault="00880768" w:rsidP="00880768">
      <w:pPr>
        <w:pStyle w:val="a-vedtak-tit"/>
      </w:pPr>
      <w:r>
        <w:t>Forslag</w:t>
      </w:r>
    </w:p>
    <w:p w:rsidR="00880768" w:rsidRDefault="00880768">
      <w:pPr>
        <w:pStyle w:val="a-vedtakdep-tit"/>
        <w:rPr>
          <w:sz w:val="26"/>
          <w:szCs w:val="26"/>
        </w:rPr>
      </w:pPr>
      <w:r>
        <w:rPr>
          <w:sz w:val="26"/>
          <w:szCs w:val="26"/>
        </w:rPr>
        <w:t>Under Olje- og energidepartementet føres det i Prop. 1 S (2018–2019)</w:t>
      </w:r>
    </w:p>
    <w:p w:rsidR="00880768" w:rsidRDefault="00880768">
      <w:pPr>
        <w:pStyle w:val="a-vedtakdep-tit"/>
        <w:rPr>
          <w:sz w:val="26"/>
          <w:szCs w:val="26"/>
        </w:rPr>
      </w:pPr>
      <w:r>
        <w:rPr>
          <w:sz w:val="26"/>
          <w:szCs w:val="26"/>
        </w:rPr>
        <w:t>Statsbudsjettet for budsjettåret 2019 opp følgende forslag til vedtak:</w:t>
      </w:r>
    </w:p>
    <w:p w:rsidR="00880768" w:rsidRDefault="00880768">
      <w:pPr>
        <w:pStyle w:val="a-vedtakkap-tit"/>
        <w:rPr>
          <w:sz w:val="26"/>
          <w:szCs w:val="26"/>
        </w:rPr>
      </w:pPr>
      <w:r>
        <w:rPr>
          <w:sz w:val="26"/>
          <w:szCs w:val="26"/>
        </w:rPr>
        <w:t>Kapitlene 1800–1840, 2440, 2490, 4800–4820, 5440, 5490, 5582, 5680 og 5685</w:t>
      </w:r>
    </w:p>
    <w:p w:rsidR="00880768" w:rsidRDefault="00880768" w:rsidP="00880768">
      <w:pPr>
        <w:pStyle w:val="a-vedtak-del"/>
      </w:pPr>
      <w:r>
        <w:t>I</w:t>
      </w:r>
    </w:p>
    <w:p w:rsidR="00880768" w:rsidRDefault="00880768" w:rsidP="00880768">
      <w:pPr>
        <w:pStyle w:val="a-vedtak-tekst"/>
      </w:pPr>
      <w:r>
        <w:t>Utgifter:</w:t>
      </w:r>
    </w:p>
    <w:tbl>
      <w:tblPr>
        <w:tblStyle w:val="StandardTabell"/>
        <w:tblW w:w="0" w:type="auto"/>
        <w:tblLayout w:type="fixed"/>
        <w:tblLook w:val="04A0" w:firstRow="1" w:lastRow="0" w:firstColumn="1" w:lastColumn="0" w:noHBand="0" w:noVBand="1"/>
      </w:tblPr>
      <w:tblGrid>
        <w:gridCol w:w="680"/>
        <w:gridCol w:w="680"/>
        <w:gridCol w:w="3940"/>
        <w:gridCol w:w="1240"/>
        <w:gridCol w:w="1500"/>
        <w:gridCol w:w="1500"/>
      </w:tblGrid>
      <w:tr w:rsidR="00880768" w:rsidTr="001E01CC">
        <w:trPr>
          <w:trHeight w:val="860"/>
        </w:trPr>
        <w:tc>
          <w:tcPr>
            <w:tcW w:w="680" w:type="dxa"/>
            <w:shd w:val="clear" w:color="auto" w:fill="FFFFFF"/>
          </w:tcPr>
          <w:p w:rsidR="00880768" w:rsidRDefault="00880768" w:rsidP="00880768">
            <w:pPr>
              <w:pStyle w:val="Tabellnavn"/>
            </w:pPr>
            <w:r>
              <w:t>VK</w:t>
            </w:r>
          </w:p>
          <w:p w:rsidR="00880768" w:rsidRDefault="00880768" w:rsidP="00B52901">
            <w:r>
              <w:t>Kap.</w:t>
            </w:r>
          </w:p>
        </w:tc>
        <w:tc>
          <w:tcPr>
            <w:tcW w:w="680" w:type="dxa"/>
          </w:tcPr>
          <w:p w:rsidR="00880768" w:rsidRDefault="00880768" w:rsidP="00880768">
            <w:r>
              <w:t>Post</w:t>
            </w:r>
          </w:p>
        </w:tc>
        <w:tc>
          <w:tcPr>
            <w:tcW w:w="3940" w:type="dxa"/>
          </w:tcPr>
          <w:p w:rsidR="00880768" w:rsidRDefault="00880768" w:rsidP="00880768"/>
        </w:tc>
        <w:tc>
          <w:tcPr>
            <w:tcW w:w="1240" w:type="dxa"/>
          </w:tcPr>
          <w:p w:rsidR="00880768" w:rsidRDefault="00880768" w:rsidP="00880768">
            <w:r>
              <w:t>Kroner</w:t>
            </w:r>
          </w:p>
        </w:tc>
        <w:tc>
          <w:tcPr>
            <w:tcW w:w="1500" w:type="dxa"/>
          </w:tcPr>
          <w:p w:rsidR="00880768" w:rsidRDefault="00880768" w:rsidP="00880768">
            <w:r>
              <w:t>Kroner</w:t>
            </w:r>
          </w:p>
        </w:tc>
        <w:tc>
          <w:tcPr>
            <w:tcW w:w="1500" w:type="dxa"/>
          </w:tcPr>
          <w:p w:rsidR="00880768" w:rsidRDefault="00880768" w:rsidP="00880768">
            <w:r>
              <w:t>Kroner</w:t>
            </w:r>
          </w:p>
        </w:tc>
      </w:tr>
      <w:tr w:rsidR="00880768" w:rsidTr="001E01CC">
        <w:trPr>
          <w:trHeight w:val="380"/>
        </w:trPr>
        <w:tc>
          <w:tcPr>
            <w:tcW w:w="9540" w:type="dxa"/>
            <w:gridSpan w:val="6"/>
          </w:tcPr>
          <w:p w:rsidR="00880768" w:rsidRDefault="00880768" w:rsidP="00880768">
            <w:r>
              <w:t>Administrasjon</w:t>
            </w:r>
          </w:p>
        </w:tc>
      </w:tr>
      <w:tr w:rsidR="00880768" w:rsidTr="001E01CC">
        <w:trPr>
          <w:trHeight w:val="380"/>
        </w:trPr>
        <w:tc>
          <w:tcPr>
            <w:tcW w:w="680" w:type="dxa"/>
          </w:tcPr>
          <w:p w:rsidR="00880768" w:rsidRDefault="00880768" w:rsidP="00880768">
            <w:r>
              <w:t>1800</w:t>
            </w:r>
          </w:p>
        </w:tc>
        <w:tc>
          <w:tcPr>
            <w:tcW w:w="680" w:type="dxa"/>
          </w:tcPr>
          <w:p w:rsidR="00880768" w:rsidRDefault="00880768" w:rsidP="00880768"/>
        </w:tc>
        <w:tc>
          <w:tcPr>
            <w:tcW w:w="3940" w:type="dxa"/>
          </w:tcPr>
          <w:p w:rsidR="00880768" w:rsidRDefault="00880768" w:rsidP="00880768">
            <w:r>
              <w:t>Olje- og energidepartementet</w:t>
            </w:r>
          </w:p>
        </w:tc>
        <w:tc>
          <w:tcPr>
            <w:tcW w:w="1240" w:type="dxa"/>
          </w:tcPr>
          <w:p w:rsidR="00880768" w:rsidRDefault="00880768" w:rsidP="00880768"/>
        </w:tc>
        <w:tc>
          <w:tcPr>
            <w:tcW w:w="1500" w:type="dxa"/>
          </w:tcPr>
          <w:p w:rsidR="00880768" w:rsidRDefault="00880768" w:rsidP="00880768"/>
        </w:tc>
        <w:tc>
          <w:tcPr>
            <w:tcW w:w="150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r>
              <w:t>01</w:t>
            </w:r>
          </w:p>
        </w:tc>
        <w:tc>
          <w:tcPr>
            <w:tcW w:w="3940" w:type="dxa"/>
          </w:tcPr>
          <w:p w:rsidR="00880768" w:rsidRDefault="00880768" w:rsidP="00880768">
            <w:r>
              <w:t xml:space="preserve">Driftsutgifter </w:t>
            </w:r>
          </w:p>
        </w:tc>
        <w:tc>
          <w:tcPr>
            <w:tcW w:w="1240" w:type="dxa"/>
          </w:tcPr>
          <w:p w:rsidR="00880768" w:rsidRDefault="00880768" w:rsidP="00880768"/>
        </w:tc>
        <w:tc>
          <w:tcPr>
            <w:tcW w:w="1500" w:type="dxa"/>
          </w:tcPr>
          <w:p w:rsidR="00880768" w:rsidRDefault="00880768" w:rsidP="00880768">
            <w:r>
              <w:t>187 346 000</w:t>
            </w:r>
          </w:p>
        </w:tc>
        <w:tc>
          <w:tcPr>
            <w:tcW w:w="1500" w:type="dxa"/>
          </w:tcPr>
          <w:p w:rsidR="00880768" w:rsidRDefault="00880768" w:rsidP="00880768"/>
        </w:tc>
      </w:tr>
      <w:tr w:rsidR="00880768" w:rsidTr="001E01CC">
        <w:trPr>
          <w:trHeight w:val="640"/>
        </w:trPr>
        <w:tc>
          <w:tcPr>
            <w:tcW w:w="680" w:type="dxa"/>
          </w:tcPr>
          <w:p w:rsidR="00880768" w:rsidRDefault="00880768" w:rsidP="00880768"/>
        </w:tc>
        <w:tc>
          <w:tcPr>
            <w:tcW w:w="680" w:type="dxa"/>
          </w:tcPr>
          <w:p w:rsidR="00880768" w:rsidRDefault="00880768" w:rsidP="00880768">
            <w:r>
              <w:t>21</w:t>
            </w:r>
          </w:p>
        </w:tc>
        <w:tc>
          <w:tcPr>
            <w:tcW w:w="3940" w:type="dxa"/>
          </w:tcPr>
          <w:p w:rsidR="00880768" w:rsidRDefault="00880768" w:rsidP="00880768">
            <w:r>
              <w:t>Spesielle driftsutgifter</w:t>
            </w:r>
            <w:r>
              <w:rPr>
                <w:rStyle w:val="kursiv"/>
                <w:sz w:val="21"/>
                <w:szCs w:val="21"/>
              </w:rPr>
              <w:t xml:space="preserve">, kan overføres, </w:t>
            </w:r>
            <w:r>
              <w:rPr>
                <w:rStyle w:val="kursiv"/>
                <w:sz w:val="21"/>
                <w:szCs w:val="21"/>
              </w:rPr>
              <w:br/>
              <w:t xml:space="preserve">kan nyttes under post 72 </w:t>
            </w:r>
          </w:p>
        </w:tc>
        <w:tc>
          <w:tcPr>
            <w:tcW w:w="1240" w:type="dxa"/>
          </w:tcPr>
          <w:p w:rsidR="00880768" w:rsidRDefault="00880768" w:rsidP="00880768"/>
        </w:tc>
        <w:tc>
          <w:tcPr>
            <w:tcW w:w="1500" w:type="dxa"/>
          </w:tcPr>
          <w:p w:rsidR="00880768" w:rsidRDefault="00880768" w:rsidP="00880768">
            <w:r>
              <w:t>26 500 000</w:t>
            </w:r>
          </w:p>
        </w:tc>
        <w:tc>
          <w:tcPr>
            <w:tcW w:w="1500" w:type="dxa"/>
          </w:tcPr>
          <w:p w:rsidR="00880768" w:rsidRDefault="00880768" w:rsidP="00880768"/>
        </w:tc>
      </w:tr>
      <w:tr w:rsidR="00880768" w:rsidTr="001E01CC">
        <w:trPr>
          <w:trHeight w:val="640"/>
        </w:trPr>
        <w:tc>
          <w:tcPr>
            <w:tcW w:w="680" w:type="dxa"/>
          </w:tcPr>
          <w:p w:rsidR="00880768" w:rsidRDefault="00880768" w:rsidP="00880768"/>
        </w:tc>
        <w:tc>
          <w:tcPr>
            <w:tcW w:w="680" w:type="dxa"/>
          </w:tcPr>
          <w:p w:rsidR="00880768" w:rsidRDefault="00880768" w:rsidP="00880768">
            <w:r>
              <w:t>50</w:t>
            </w:r>
          </w:p>
        </w:tc>
        <w:tc>
          <w:tcPr>
            <w:tcW w:w="3940" w:type="dxa"/>
          </w:tcPr>
          <w:p w:rsidR="00880768" w:rsidRDefault="00880768" w:rsidP="00880768">
            <w:r>
              <w:t>Overføring til andre forvaltningso</w:t>
            </w:r>
            <w:r>
              <w:t>r</w:t>
            </w:r>
            <w:r>
              <w:t>ganer</w:t>
            </w:r>
            <w:r>
              <w:rPr>
                <w:rStyle w:val="kursiv"/>
                <w:sz w:val="21"/>
                <w:szCs w:val="21"/>
              </w:rPr>
              <w:t xml:space="preserve">, kan overføres </w:t>
            </w:r>
          </w:p>
        </w:tc>
        <w:tc>
          <w:tcPr>
            <w:tcW w:w="1240" w:type="dxa"/>
          </w:tcPr>
          <w:p w:rsidR="00880768" w:rsidRDefault="00880768" w:rsidP="00880768"/>
        </w:tc>
        <w:tc>
          <w:tcPr>
            <w:tcW w:w="1500" w:type="dxa"/>
          </w:tcPr>
          <w:p w:rsidR="00880768" w:rsidRDefault="00880768" w:rsidP="00880768">
            <w:r>
              <w:t>500 000</w:t>
            </w:r>
          </w:p>
        </w:tc>
        <w:tc>
          <w:tcPr>
            <w:tcW w:w="1500" w:type="dxa"/>
          </w:tcPr>
          <w:p w:rsidR="00880768" w:rsidRDefault="00880768" w:rsidP="00880768"/>
        </w:tc>
      </w:tr>
      <w:tr w:rsidR="00880768" w:rsidTr="001E01CC">
        <w:trPr>
          <w:trHeight w:val="640"/>
        </w:trPr>
        <w:tc>
          <w:tcPr>
            <w:tcW w:w="680" w:type="dxa"/>
          </w:tcPr>
          <w:p w:rsidR="00880768" w:rsidRDefault="00880768" w:rsidP="00880768"/>
        </w:tc>
        <w:tc>
          <w:tcPr>
            <w:tcW w:w="680" w:type="dxa"/>
          </w:tcPr>
          <w:p w:rsidR="00880768" w:rsidRDefault="00880768" w:rsidP="00880768">
            <w:r>
              <w:t>70</w:t>
            </w:r>
          </w:p>
        </w:tc>
        <w:tc>
          <w:tcPr>
            <w:tcW w:w="3940" w:type="dxa"/>
          </w:tcPr>
          <w:p w:rsidR="00880768" w:rsidRDefault="00880768" w:rsidP="00880768">
            <w:r>
              <w:t xml:space="preserve">Tilskudd til internasjonale </w:t>
            </w:r>
            <w:r>
              <w:rPr>
                <w:sz w:val="22"/>
              </w:rPr>
              <w:br/>
            </w:r>
            <w:r>
              <w:t xml:space="preserve">organisasjoner mv. </w:t>
            </w:r>
          </w:p>
        </w:tc>
        <w:tc>
          <w:tcPr>
            <w:tcW w:w="1240" w:type="dxa"/>
          </w:tcPr>
          <w:p w:rsidR="00880768" w:rsidRDefault="00880768" w:rsidP="00880768"/>
        </w:tc>
        <w:tc>
          <w:tcPr>
            <w:tcW w:w="1500" w:type="dxa"/>
          </w:tcPr>
          <w:p w:rsidR="00880768" w:rsidRDefault="00880768" w:rsidP="00880768">
            <w:r>
              <w:t>10 000 000</w:t>
            </w:r>
          </w:p>
        </w:tc>
        <w:tc>
          <w:tcPr>
            <w:tcW w:w="150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r>
              <w:t>71</w:t>
            </w:r>
          </w:p>
        </w:tc>
        <w:tc>
          <w:tcPr>
            <w:tcW w:w="3940" w:type="dxa"/>
          </w:tcPr>
          <w:p w:rsidR="00880768" w:rsidRDefault="00880768" w:rsidP="00880768">
            <w:r>
              <w:t xml:space="preserve">Tilskudd til Norsk Oljemuseum </w:t>
            </w:r>
          </w:p>
        </w:tc>
        <w:tc>
          <w:tcPr>
            <w:tcW w:w="1240" w:type="dxa"/>
          </w:tcPr>
          <w:p w:rsidR="00880768" w:rsidRDefault="00880768" w:rsidP="00880768"/>
        </w:tc>
        <w:tc>
          <w:tcPr>
            <w:tcW w:w="1500" w:type="dxa"/>
          </w:tcPr>
          <w:p w:rsidR="00880768" w:rsidRDefault="00880768" w:rsidP="00880768">
            <w:r>
              <w:t>14 000 000</w:t>
            </w:r>
          </w:p>
        </w:tc>
        <w:tc>
          <w:tcPr>
            <w:tcW w:w="1500" w:type="dxa"/>
          </w:tcPr>
          <w:p w:rsidR="00880768" w:rsidRDefault="00880768" w:rsidP="00880768"/>
        </w:tc>
      </w:tr>
      <w:tr w:rsidR="00880768" w:rsidTr="001E01CC">
        <w:trPr>
          <w:trHeight w:val="640"/>
        </w:trPr>
        <w:tc>
          <w:tcPr>
            <w:tcW w:w="680" w:type="dxa"/>
          </w:tcPr>
          <w:p w:rsidR="00880768" w:rsidRDefault="00880768" w:rsidP="00880768"/>
        </w:tc>
        <w:tc>
          <w:tcPr>
            <w:tcW w:w="680" w:type="dxa"/>
          </w:tcPr>
          <w:p w:rsidR="00880768" w:rsidRDefault="00880768" w:rsidP="00880768">
            <w:r>
              <w:t>72</w:t>
            </w:r>
          </w:p>
        </w:tc>
        <w:tc>
          <w:tcPr>
            <w:tcW w:w="3940" w:type="dxa"/>
          </w:tcPr>
          <w:p w:rsidR="00880768" w:rsidRDefault="00880768" w:rsidP="00880768">
            <w:r>
              <w:t>Tilskudd til olje- og energiformål</w:t>
            </w:r>
            <w:r>
              <w:rPr>
                <w:rStyle w:val="kursiv"/>
                <w:sz w:val="21"/>
                <w:szCs w:val="21"/>
              </w:rPr>
              <w:t xml:space="preserve">, </w:t>
            </w:r>
            <w:r>
              <w:rPr>
                <w:rStyle w:val="kursiv"/>
                <w:sz w:val="21"/>
                <w:szCs w:val="21"/>
              </w:rPr>
              <w:br/>
              <w:t xml:space="preserve">kan overføres, kan nyttes under post 21 </w:t>
            </w:r>
          </w:p>
        </w:tc>
        <w:tc>
          <w:tcPr>
            <w:tcW w:w="1240" w:type="dxa"/>
          </w:tcPr>
          <w:p w:rsidR="00880768" w:rsidRDefault="00880768" w:rsidP="00880768"/>
        </w:tc>
        <w:tc>
          <w:tcPr>
            <w:tcW w:w="1500" w:type="dxa"/>
          </w:tcPr>
          <w:p w:rsidR="00880768" w:rsidRDefault="00880768" w:rsidP="00880768">
            <w:r>
              <w:t>5 000 000</w:t>
            </w:r>
          </w:p>
        </w:tc>
        <w:tc>
          <w:tcPr>
            <w:tcW w:w="1500" w:type="dxa"/>
          </w:tcPr>
          <w:p w:rsidR="00880768" w:rsidRDefault="00880768" w:rsidP="00880768">
            <w:r>
              <w:t>243 346 000</w:t>
            </w:r>
          </w:p>
        </w:tc>
      </w:tr>
      <w:tr w:rsidR="00880768" w:rsidTr="001E01CC">
        <w:trPr>
          <w:trHeight w:val="380"/>
        </w:trPr>
        <w:tc>
          <w:tcPr>
            <w:tcW w:w="680" w:type="dxa"/>
          </w:tcPr>
          <w:p w:rsidR="00880768" w:rsidRDefault="00880768" w:rsidP="00880768"/>
        </w:tc>
        <w:tc>
          <w:tcPr>
            <w:tcW w:w="680" w:type="dxa"/>
          </w:tcPr>
          <w:p w:rsidR="00880768" w:rsidRDefault="00880768" w:rsidP="00880768"/>
        </w:tc>
        <w:tc>
          <w:tcPr>
            <w:tcW w:w="3940" w:type="dxa"/>
          </w:tcPr>
          <w:p w:rsidR="00880768" w:rsidRDefault="00880768" w:rsidP="00880768">
            <w:r>
              <w:t>Sum Administrasjon</w:t>
            </w:r>
          </w:p>
        </w:tc>
        <w:tc>
          <w:tcPr>
            <w:tcW w:w="1240" w:type="dxa"/>
          </w:tcPr>
          <w:p w:rsidR="00880768" w:rsidRDefault="00880768" w:rsidP="00880768"/>
        </w:tc>
        <w:tc>
          <w:tcPr>
            <w:tcW w:w="1500" w:type="dxa"/>
          </w:tcPr>
          <w:p w:rsidR="00880768" w:rsidRDefault="00880768" w:rsidP="00880768"/>
        </w:tc>
        <w:tc>
          <w:tcPr>
            <w:tcW w:w="1500" w:type="dxa"/>
          </w:tcPr>
          <w:p w:rsidR="00880768" w:rsidRDefault="00880768" w:rsidP="00880768">
            <w:r>
              <w:t>243 346 000</w:t>
            </w:r>
          </w:p>
        </w:tc>
      </w:tr>
      <w:tr w:rsidR="00880768" w:rsidTr="001E01CC">
        <w:trPr>
          <w:trHeight w:val="380"/>
        </w:trPr>
        <w:tc>
          <w:tcPr>
            <w:tcW w:w="9540" w:type="dxa"/>
            <w:gridSpan w:val="6"/>
          </w:tcPr>
          <w:p w:rsidR="00880768" w:rsidRDefault="00880768" w:rsidP="00880768">
            <w:r>
              <w:t>Petroleum</w:t>
            </w:r>
          </w:p>
        </w:tc>
      </w:tr>
      <w:tr w:rsidR="00880768" w:rsidTr="001E01CC">
        <w:trPr>
          <w:trHeight w:val="380"/>
        </w:trPr>
        <w:tc>
          <w:tcPr>
            <w:tcW w:w="680" w:type="dxa"/>
          </w:tcPr>
          <w:p w:rsidR="00880768" w:rsidRDefault="00880768" w:rsidP="00880768">
            <w:r>
              <w:lastRenderedPageBreak/>
              <w:t>1810</w:t>
            </w:r>
          </w:p>
        </w:tc>
        <w:tc>
          <w:tcPr>
            <w:tcW w:w="680" w:type="dxa"/>
          </w:tcPr>
          <w:p w:rsidR="00880768" w:rsidRDefault="00880768" w:rsidP="00880768"/>
        </w:tc>
        <w:tc>
          <w:tcPr>
            <w:tcW w:w="3940" w:type="dxa"/>
          </w:tcPr>
          <w:p w:rsidR="00880768" w:rsidRDefault="00880768" w:rsidP="00880768">
            <w:r>
              <w:t>Oljedirektoratet</w:t>
            </w:r>
          </w:p>
        </w:tc>
        <w:tc>
          <w:tcPr>
            <w:tcW w:w="1240" w:type="dxa"/>
          </w:tcPr>
          <w:p w:rsidR="00880768" w:rsidRDefault="00880768" w:rsidP="00880768"/>
        </w:tc>
        <w:tc>
          <w:tcPr>
            <w:tcW w:w="1500" w:type="dxa"/>
          </w:tcPr>
          <w:p w:rsidR="00880768" w:rsidRDefault="00880768" w:rsidP="00880768"/>
        </w:tc>
        <w:tc>
          <w:tcPr>
            <w:tcW w:w="150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r>
              <w:t>01</w:t>
            </w:r>
          </w:p>
        </w:tc>
        <w:tc>
          <w:tcPr>
            <w:tcW w:w="3940" w:type="dxa"/>
          </w:tcPr>
          <w:p w:rsidR="00880768" w:rsidRDefault="00880768" w:rsidP="00880768">
            <w:r>
              <w:t xml:space="preserve">Driftsutgifter </w:t>
            </w:r>
          </w:p>
        </w:tc>
        <w:tc>
          <w:tcPr>
            <w:tcW w:w="1240" w:type="dxa"/>
          </w:tcPr>
          <w:p w:rsidR="00880768" w:rsidRDefault="00880768" w:rsidP="00880768"/>
        </w:tc>
        <w:tc>
          <w:tcPr>
            <w:tcW w:w="1500" w:type="dxa"/>
          </w:tcPr>
          <w:p w:rsidR="00880768" w:rsidRDefault="00880768" w:rsidP="00880768">
            <w:r>
              <w:t>304 000 000</w:t>
            </w:r>
          </w:p>
        </w:tc>
        <w:tc>
          <w:tcPr>
            <w:tcW w:w="150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r>
              <w:t>21</w:t>
            </w:r>
          </w:p>
        </w:tc>
        <w:tc>
          <w:tcPr>
            <w:tcW w:w="3940" w:type="dxa"/>
          </w:tcPr>
          <w:p w:rsidR="00880768" w:rsidRDefault="00880768" w:rsidP="00880768">
            <w:r>
              <w:t>Spesielle driftsutgifter</w:t>
            </w:r>
            <w:r>
              <w:rPr>
                <w:rStyle w:val="kursiv"/>
                <w:sz w:val="21"/>
                <w:szCs w:val="21"/>
              </w:rPr>
              <w:t xml:space="preserve">, kan overføres </w:t>
            </w:r>
          </w:p>
        </w:tc>
        <w:tc>
          <w:tcPr>
            <w:tcW w:w="1240" w:type="dxa"/>
          </w:tcPr>
          <w:p w:rsidR="00880768" w:rsidRDefault="00880768" w:rsidP="00880768"/>
        </w:tc>
        <w:tc>
          <w:tcPr>
            <w:tcW w:w="1500" w:type="dxa"/>
          </w:tcPr>
          <w:p w:rsidR="00880768" w:rsidRDefault="00880768" w:rsidP="00880768">
            <w:r>
              <w:t>82 000 000</w:t>
            </w:r>
          </w:p>
        </w:tc>
        <w:tc>
          <w:tcPr>
            <w:tcW w:w="1500" w:type="dxa"/>
          </w:tcPr>
          <w:p w:rsidR="00880768" w:rsidRDefault="00880768" w:rsidP="00880768"/>
        </w:tc>
      </w:tr>
      <w:tr w:rsidR="00880768" w:rsidTr="001E01CC">
        <w:trPr>
          <w:trHeight w:val="640"/>
        </w:trPr>
        <w:tc>
          <w:tcPr>
            <w:tcW w:w="680" w:type="dxa"/>
          </w:tcPr>
          <w:p w:rsidR="00880768" w:rsidRDefault="00880768" w:rsidP="00880768"/>
        </w:tc>
        <w:tc>
          <w:tcPr>
            <w:tcW w:w="680" w:type="dxa"/>
          </w:tcPr>
          <w:p w:rsidR="00880768" w:rsidRDefault="00880768" w:rsidP="00880768">
            <w:r>
              <w:t>23</w:t>
            </w:r>
          </w:p>
        </w:tc>
        <w:tc>
          <w:tcPr>
            <w:tcW w:w="3940" w:type="dxa"/>
          </w:tcPr>
          <w:p w:rsidR="00880768" w:rsidRDefault="00880768" w:rsidP="00880768">
            <w:r>
              <w:t>Oppdrags- og samarbeidsvirksomhet</w:t>
            </w:r>
            <w:r>
              <w:rPr>
                <w:rStyle w:val="kursiv"/>
                <w:sz w:val="21"/>
                <w:szCs w:val="21"/>
              </w:rPr>
              <w:t xml:space="preserve">, </w:t>
            </w:r>
            <w:r>
              <w:rPr>
                <w:rStyle w:val="kursiv"/>
                <w:sz w:val="21"/>
                <w:szCs w:val="21"/>
              </w:rPr>
              <w:br/>
              <w:t xml:space="preserve">kan overføres </w:t>
            </w:r>
          </w:p>
        </w:tc>
        <w:tc>
          <w:tcPr>
            <w:tcW w:w="1240" w:type="dxa"/>
          </w:tcPr>
          <w:p w:rsidR="00880768" w:rsidRDefault="00880768" w:rsidP="00880768"/>
        </w:tc>
        <w:tc>
          <w:tcPr>
            <w:tcW w:w="1500" w:type="dxa"/>
          </w:tcPr>
          <w:p w:rsidR="00880768" w:rsidRDefault="00880768" w:rsidP="00880768">
            <w:r>
              <w:t>119 000 000</w:t>
            </w:r>
          </w:p>
        </w:tc>
        <w:tc>
          <w:tcPr>
            <w:tcW w:w="1500" w:type="dxa"/>
          </w:tcPr>
          <w:p w:rsidR="00880768" w:rsidRDefault="00880768" w:rsidP="00880768">
            <w:r>
              <w:t>505 000 000</w:t>
            </w:r>
          </w:p>
        </w:tc>
      </w:tr>
      <w:tr w:rsidR="00880768" w:rsidTr="001E01CC">
        <w:trPr>
          <w:trHeight w:val="380"/>
        </w:trPr>
        <w:tc>
          <w:tcPr>
            <w:tcW w:w="680" w:type="dxa"/>
          </w:tcPr>
          <w:p w:rsidR="00880768" w:rsidRDefault="00880768" w:rsidP="00880768">
            <w:r>
              <w:t>1815</w:t>
            </w:r>
          </w:p>
        </w:tc>
        <w:tc>
          <w:tcPr>
            <w:tcW w:w="680" w:type="dxa"/>
          </w:tcPr>
          <w:p w:rsidR="00880768" w:rsidRDefault="00880768" w:rsidP="00880768"/>
        </w:tc>
        <w:tc>
          <w:tcPr>
            <w:tcW w:w="3940" w:type="dxa"/>
          </w:tcPr>
          <w:p w:rsidR="00880768" w:rsidRDefault="00880768" w:rsidP="00880768">
            <w:r>
              <w:t>Petoro AS</w:t>
            </w:r>
          </w:p>
        </w:tc>
        <w:tc>
          <w:tcPr>
            <w:tcW w:w="1240" w:type="dxa"/>
          </w:tcPr>
          <w:p w:rsidR="00880768" w:rsidRDefault="00880768" w:rsidP="00880768"/>
        </w:tc>
        <w:tc>
          <w:tcPr>
            <w:tcW w:w="1500" w:type="dxa"/>
          </w:tcPr>
          <w:p w:rsidR="00880768" w:rsidRDefault="00880768" w:rsidP="00880768"/>
        </w:tc>
        <w:tc>
          <w:tcPr>
            <w:tcW w:w="150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r>
              <w:t>70</w:t>
            </w:r>
          </w:p>
        </w:tc>
        <w:tc>
          <w:tcPr>
            <w:tcW w:w="3940" w:type="dxa"/>
          </w:tcPr>
          <w:p w:rsidR="00880768" w:rsidRDefault="00880768" w:rsidP="00880768">
            <w:r>
              <w:t xml:space="preserve">Administrasjon </w:t>
            </w:r>
          </w:p>
        </w:tc>
        <w:tc>
          <w:tcPr>
            <w:tcW w:w="1240" w:type="dxa"/>
          </w:tcPr>
          <w:p w:rsidR="00880768" w:rsidRDefault="00880768" w:rsidP="00880768"/>
        </w:tc>
        <w:tc>
          <w:tcPr>
            <w:tcW w:w="1500" w:type="dxa"/>
          </w:tcPr>
          <w:p w:rsidR="00880768" w:rsidRDefault="00880768" w:rsidP="00880768">
            <w:r>
              <w:t>358 700 000</w:t>
            </w:r>
          </w:p>
        </w:tc>
        <w:tc>
          <w:tcPr>
            <w:tcW w:w="1500" w:type="dxa"/>
          </w:tcPr>
          <w:p w:rsidR="00880768" w:rsidRDefault="00880768" w:rsidP="00880768">
            <w:r>
              <w:t>358 700 000</w:t>
            </w:r>
          </w:p>
        </w:tc>
      </w:tr>
      <w:tr w:rsidR="00880768" w:rsidTr="001E01CC">
        <w:trPr>
          <w:trHeight w:val="640"/>
        </w:trPr>
        <w:tc>
          <w:tcPr>
            <w:tcW w:w="680" w:type="dxa"/>
          </w:tcPr>
          <w:p w:rsidR="00880768" w:rsidRDefault="00880768" w:rsidP="00880768">
            <w:r>
              <w:t>2440</w:t>
            </w:r>
          </w:p>
        </w:tc>
        <w:tc>
          <w:tcPr>
            <w:tcW w:w="680" w:type="dxa"/>
          </w:tcPr>
          <w:p w:rsidR="00880768" w:rsidRDefault="00880768" w:rsidP="00880768"/>
        </w:tc>
        <w:tc>
          <w:tcPr>
            <w:tcW w:w="3940" w:type="dxa"/>
          </w:tcPr>
          <w:p w:rsidR="00880768" w:rsidRDefault="00880768" w:rsidP="00880768">
            <w:r>
              <w:t>Statens direkte økonomiske engasj</w:t>
            </w:r>
            <w:r>
              <w:t>e</w:t>
            </w:r>
            <w:r>
              <w:t>ment i petroleumsvirksomheten</w:t>
            </w:r>
          </w:p>
        </w:tc>
        <w:tc>
          <w:tcPr>
            <w:tcW w:w="1240" w:type="dxa"/>
          </w:tcPr>
          <w:p w:rsidR="00880768" w:rsidRDefault="00880768" w:rsidP="00880768"/>
        </w:tc>
        <w:tc>
          <w:tcPr>
            <w:tcW w:w="1500" w:type="dxa"/>
          </w:tcPr>
          <w:p w:rsidR="00880768" w:rsidRDefault="00880768" w:rsidP="00880768"/>
        </w:tc>
        <w:tc>
          <w:tcPr>
            <w:tcW w:w="150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r>
              <w:t>30</w:t>
            </w:r>
          </w:p>
        </w:tc>
        <w:tc>
          <w:tcPr>
            <w:tcW w:w="3940" w:type="dxa"/>
          </w:tcPr>
          <w:p w:rsidR="00880768" w:rsidRDefault="00880768" w:rsidP="00880768">
            <w:r>
              <w:t xml:space="preserve">Investeringer </w:t>
            </w:r>
          </w:p>
        </w:tc>
        <w:tc>
          <w:tcPr>
            <w:tcW w:w="1240" w:type="dxa"/>
          </w:tcPr>
          <w:p w:rsidR="00880768" w:rsidRDefault="00880768" w:rsidP="00880768"/>
        </w:tc>
        <w:tc>
          <w:tcPr>
            <w:tcW w:w="1500" w:type="dxa"/>
          </w:tcPr>
          <w:p w:rsidR="00880768" w:rsidRDefault="00880768" w:rsidP="00880768">
            <w:r>
              <w:t>27 000 000 000</w:t>
            </w:r>
          </w:p>
        </w:tc>
        <w:tc>
          <w:tcPr>
            <w:tcW w:w="1500" w:type="dxa"/>
          </w:tcPr>
          <w:p w:rsidR="00880768" w:rsidRDefault="00880768" w:rsidP="00880768">
            <w:r>
              <w:t>27 000 000 000</w:t>
            </w:r>
          </w:p>
        </w:tc>
      </w:tr>
      <w:tr w:rsidR="00880768" w:rsidTr="001E01CC">
        <w:trPr>
          <w:trHeight w:val="380"/>
        </w:trPr>
        <w:tc>
          <w:tcPr>
            <w:tcW w:w="680" w:type="dxa"/>
          </w:tcPr>
          <w:p w:rsidR="00880768" w:rsidRDefault="00880768" w:rsidP="00880768"/>
        </w:tc>
        <w:tc>
          <w:tcPr>
            <w:tcW w:w="680" w:type="dxa"/>
          </w:tcPr>
          <w:p w:rsidR="00880768" w:rsidRDefault="00880768" w:rsidP="00880768"/>
        </w:tc>
        <w:tc>
          <w:tcPr>
            <w:tcW w:w="3940" w:type="dxa"/>
          </w:tcPr>
          <w:p w:rsidR="00880768" w:rsidRDefault="00880768" w:rsidP="00880768">
            <w:r>
              <w:t>Sum Petroleum</w:t>
            </w:r>
          </w:p>
        </w:tc>
        <w:tc>
          <w:tcPr>
            <w:tcW w:w="1240" w:type="dxa"/>
          </w:tcPr>
          <w:p w:rsidR="00880768" w:rsidRDefault="00880768" w:rsidP="00880768"/>
        </w:tc>
        <w:tc>
          <w:tcPr>
            <w:tcW w:w="1500" w:type="dxa"/>
          </w:tcPr>
          <w:p w:rsidR="00880768" w:rsidRDefault="00880768" w:rsidP="00880768"/>
        </w:tc>
        <w:tc>
          <w:tcPr>
            <w:tcW w:w="1500" w:type="dxa"/>
          </w:tcPr>
          <w:p w:rsidR="00880768" w:rsidRDefault="00880768" w:rsidP="00880768">
            <w:r>
              <w:t>27 863 700 000</w:t>
            </w:r>
          </w:p>
        </w:tc>
      </w:tr>
      <w:tr w:rsidR="00880768" w:rsidTr="001E01CC">
        <w:trPr>
          <w:trHeight w:val="380"/>
        </w:trPr>
        <w:tc>
          <w:tcPr>
            <w:tcW w:w="9540" w:type="dxa"/>
            <w:gridSpan w:val="6"/>
          </w:tcPr>
          <w:p w:rsidR="00880768" w:rsidRDefault="00880768" w:rsidP="00880768">
            <w:r>
              <w:t>Energi og vannressurser</w:t>
            </w:r>
          </w:p>
        </w:tc>
      </w:tr>
      <w:tr w:rsidR="00880768" w:rsidTr="001E01CC">
        <w:trPr>
          <w:trHeight w:val="380"/>
        </w:trPr>
        <w:tc>
          <w:tcPr>
            <w:tcW w:w="680" w:type="dxa"/>
          </w:tcPr>
          <w:p w:rsidR="00880768" w:rsidRDefault="00880768" w:rsidP="00880768">
            <w:r>
              <w:t>1820</w:t>
            </w:r>
          </w:p>
        </w:tc>
        <w:tc>
          <w:tcPr>
            <w:tcW w:w="680" w:type="dxa"/>
          </w:tcPr>
          <w:p w:rsidR="00880768" w:rsidRDefault="00880768" w:rsidP="00880768"/>
        </w:tc>
        <w:tc>
          <w:tcPr>
            <w:tcW w:w="3940" w:type="dxa"/>
          </w:tcPr>
          <w:p w:rsidR="00880768" w:rsidRDefault="00880768" w:rsidP="00880768">
            <w:r>
              <w:t>Norges vassdrags- og energidirektorat</w:t>
            </w:r>
          </w:p>
        </w:tc>
        <w:tc>
          <w:tcPr>
            <w:tcW w:w="1240" w:type="dxa"/>
          </w:tcPr>
          <w:p w:rsidR="00880768" w:rsidRDefault="00880768" w:rsidP="00880768"/>
        </w:tc>
        <w:tc>
          <w:tcPr>
            <w:tcW w:w="1500" w:type="dxa"/>
          </w:tcPr>
          <w:p w:rsidR="00880768" w:rsidRDefault="00880768" w:rsidP="00880768"/>
        </w:tc>
        <w:tc>
          <w:tcPr>
            <w:tcW w:w="150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r>
              <w:t>01</w:t>
            </w:r>
          </w:p>
        </w:tc>
        <w:tc>
          <w:tcPr>
            <w:tcW w:w="3940" w:type="dxa"/>
          </w:tcPr>
          <w:p w:rsidR="00880768" w:rsidRDefault="00880768" w:rsidP="00880768">
            <w:r>
              <w:t xml:space="preserve">Driftsutgifter </w:t>
            </w:r>
          </w:p>
        </w:tc>
        <w:tc>
          <w:tcPr>
            <w:tcW w:w="1240" w:type="dxa"/>
          </w:tcPr>
          <w:p w:rsidR="00880768" w:rsidRDefault="00880768" w:rsidP="00880768"/>
        </w:tc>
        <w:tc>
          <w:tcPr>
            <w:tcW w:w="1500" w:type="dxa"/>
          </w:tcPr>
          <w:p w:rsidR="00880768" w:rsidRDefault="00880768" w:rsidP="00880768">
            <w:r>
              <w:t>566 000 000</w:t>
            </w:r>
          </w:p>
        </w:tc>
        <w:tc>
          <w:tcPr>
            <w:tcW w:w="150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r>
              <w:t>21</w:t>
            </w:r>
          </w:p>
        </w:tc>
        <w:tc>
          <w:tcPr>
            <w:tcW w:w="3940" w:type="dxa"/>
          </w:tcPr>
          <w:p w:rsidR="00880768" w:rsidRDefault="00880768" w:rsidP="00880768">
            <w:r>
              <w:t>Spesielle driftsutgifter</w:t>
            </w:r>
            <w:r>
              <w:rPr>
                <w:rStyle w:val="kursiv"/>
                <w:sz w:val="21"/>
                <w:szCs w:val="21"/>
              </w:rPr>
              <w:t xml:space="preserve">, kan overføres </w:t>
            </w:r>
          </w:p>
        </w:tc>
        <w:tc>
          <w:tcPr>
            <w:tcW w:w="1240" w:type="dxa"/>
          </w:tcPr>
          <w:p w:rsidR="00880768" w:rsidRDefault="00880768" w:rsidP="00880768"/>
        </w:tc>
        <w:tc>
          <w:tcPr>
            <w:tcW w:w="1500" w:type="dxa"/>
          </w:tcPr>
          <w:p w:rsidR="00880768" w:rsidRDefault="00880768" w:rsidP="00880768">
            <w:r>
              <w:t>32 000 000</w:t>
            </w:r>
          </w:p>
        </w:tc>
        <w:tc>
          <w:tcPr>
            <w:tcW w:w="1500" w:type="dxa"/>
          </w:tcPr>
          <w:p w:rsidR="00880768" w:rsidRDefault="00880768" w:rsidP="00880768"/>
        </w:tc>
      </w:tr>
      <w:tr w:rsidR="00880768" w:rsidTr="001E01CC">
        <w:trPr>
          <w:trHeight w:val="640"/>
        </w:trPr>
        <w:tc>
          <w:tcPr>
            <w:tcW w:w="680" w:type="dxa"/>
          </w:tcPr>
          <w:p w:rsidR="00880768" w:rsidRDefault="00880768" w:rsidP="00880768"/>
        </w:tc>
        <w:tc>
          <w:tcPr>
            <w:tcW w:w="680" w:type="dxa"/>
          </w:tcPr>
          <w:p w:rsidR="00880768" w:rsidRDefault="00880768" w:rsidP="00880768">
            <w:r>
              <w:t>22</w:t>
            </w:r>
          </w:p>
        </w:tc>
        <w:tc>
          <w:tcPr>
            <w:tcW w:w="3940" w:type="dxa"/>
          </w:tcPr>
          <w:p w:rsidR="00880768" w:rsidRDefault="00880768" w:rsidP="00880768">
            <w:r>
              <w:t>Flom- og skredforebygging</w:t>
            </w:r>
            <w:r>
              <w:rPr>
                <w:rStyle w:val="kursiv"/>
                <w:spacing w:val="-3"/>
                <w:sz w:val="21"/>
                <w:szCs w:val="21"/>
              </w:rPr>
              <w:t>, kan ove</w:t>
            </w:r>
            <w:r>
              <w:rPr>
                <w:rStyle w:val="kursiv"/>
                <w:spacing w:val="-3"/>
                <w:sz w:val="21"/>
                <w:szCs w:val="21"/>
              </w:rPr>
              <w:t>r</w:t>
            </w:r>
            <w:r>
              <w:rPr>
                <w:rStyle w:val="kursiv"/>
                <w:spacing w:val="-3"/>
                <w:sz w:val="21"/>
                <w:szCs w:val="21"/>
              </w:rPr>
              <w:t xml:space="preserve">føres, kan nyttes under postene 45, 60 og 72 </w:t>
            </w:r>
          </w:p>
        </w:tc>
        <w:tc>
          <w:tcPr>
            <w:tcW w:w="1240" w:type="dxa"/>
          </w:tcPr>
          <w:p w:rsidR="00880768" w:rsidRDefault="00880768" w:rsidP="00880768"/>
        </w:tc>
        <w:tc>
          <w:tcPr>
            <w:tcW w:w="1500" w:type="dxa"/>
          </w:tcPr>
          <w:p w:rsidR="00880768" w:rsidRDefault="00880768" w:rsidP="00880768">
            <w:r>
              <w:t>257 000 000</w:t>
            </w:r>
          </w:p>
        </w:tc>
        <w:tc>
          <w:tcPr>
            <w:tcW w:w="1500" w:type="dxa"/>
          </w:tcPr>
          <w:p w:rsidR="00880768" w:rsidRDefault="00880768" w:rsidP="00880768"/>
        </w:tc>
      </w:tr>
      <w:tr w:rsidR="00880768" w:rsidTr="001E01CC">
        <w:trPr>
          <w:trHeight w:val="640"/>
        </w:trPr>
        <w:tc>
          <w:tcPr>
            <w:tcW w:w="680" w:type="dxa"/>
          </w:tcPr>
          <w:p w:rsidR="00880768" w:rsidRDefault="00880768" w:rsidP="00880768"/>
        </w:tc>
        <w:tc>
          <w:tcPr>
            <w:tcW w:w="680" w:type="dxa"/>
          </w:tcPr>
          <w:p w:rsidR="00880768" w:rsidRDefault="00880768" w:rsidP="00880768">
            <w:r>
              <w:t>23</w:t>
            </w:r>
          </w:p>
        </w:tc>
        <w:tc>
          <w:tcPr>
            <w:tcW w:w="3940" w:type="dxa"/>
          </w:tcPr>
          <w:p w:rsidR="00880768" w:rsidRDefault="00880768" w:rsidP="00880768">
            <w:r>
              <w:t>Oppdrags- og samarbeidsvirksomhet</w:t>
            </w:r>
            <w:r>
              <w:rPr>
                <w:rStyle w:val="kursiv"/>
                <w:sz w:val="21"/>
                <w:szCs w:val="21"/>
              </w:rPr>
              <w:t xml:space="preserve">, </w:t>
            </w:r>
            <w:r>
              <w:rPr>
                <w:rStyle w:val="kursiv"/>
                <w:sz w:val="21"/>
                <w:szCs w:val="21"/>
              </w:rPr>
              <w:br/>
              <w:t xml:space="preserve">kan overføres </w:t>
            </w:r>
          </w:p>
        </w:tc>
        <w:tc>
          <w:tcPr>
            <w:tcW w:w="1240" w:type="dxa"/>
          </w:tcPr>
          <w:p w:rsidR="00880768" w:rsidRDefault="00880768" w:rsidP="00880768"/>
        </w:tc>
        <w:tc>
          <w:tcPr>
            <w:tcW w:w="1500" w:type="dxa"/>
          </w:tcPr>
          <w:p w:rsidR="00880768" w:rsidRDefault="00880768" w:rsidP="00880768">
            <w:r>
              <w:t>89 000 000</w:t>
            </w:r>
          </w:p>
        </w:tc>
        <w:tc>
          <w:tcPr>
            <w:tcW w:w="1500" w:type="dxa"/>
          </w:tcPr>
          <w:p w:rsidR="00880768" w:rsidRDefault="00880768" w:rsidP="00880768"/>
        </w:tc>
      </w:tr>
      <w:tr w:rsidR="00880768" w:rsidTr="001E01CC">
        <w:trPr>
          <w:trHeight w:val="640"/>
        </w:trPr>
        <w:tc>
          <w:tcPr>
            <w:tcW w:w="680" w:type="dxa"/>
          </w:tcPr>
          <w:p w:rsidR="00880768" w:rsidRDefault="00880768" w:rsidP="00880768"/>
        </w:tc>
        <w:tc>
          <w:tcPr>
            <w:tcW w:w="680" w:type="dxa"/>
          </w:tcPr>
          <w:p w:rsidR="00880768" w:rsidRDefault="00880768" w:rsidP="00880768">
            <w:r>
              <w:t>26</w:t>
            </w:r>
          </w:p>
        </w:tc>
        <w:tc>
          <w:tcPr>
            <w:tcW w:w="3940" w:type="dxa"/>
          </w:tcPr>
          <w:p w:rsidR="00880768" w:rsidRDefault="00880768" w:rsidP="00880768">
            <w:r>
              <w:t>Driftsutgifter, Reguleringsmyndigh</w:t>
            </w:r>
            <w:r>
              <w:t>e</w:t>
            </w:r>
            <w:r>
              <w:t>ten for energi</w:t>
            </w:r>
          </w:p>
        </w:tc>
        <w:tc>
          <w:tcPr>
            <w:tcW w:w="1240" w:type="dxa"/>
          </w:tcPr>
          <w:p w:rsidR="00880768" w:rsidRDefault="00880768" w:rsidP="00880768"/>
        </w:tc>
        <w:tc>
          <w:tcPr>
            <w:tcW w:w="1500" w:type="dxa"/>
          </w:tcPr>
          <w:p w:rsidR="00880768" w:rsidRDefault="00880768" w:rsidP="00880768">
            <w:r>
              <w:t>56 500 000</w:t>
            </w:r>
          </w:p>
        </w:tc>
        <w:tc>
          <w:tcPr>
            <w:tcW w:w="1500" w:type="dxa"/>
          </w:tcPr>
          <w:p w:rsidR="00880768" w:rsidRDefault="00880768" w:rsidP="00880768"/>
        </w:tc>
      </w:tr>
      <w:tr w:rsidR="00880768" w:rsidTr="001E01CC">
        <w:trPr>
          <w:trHeight w:val="640"/>
        </w:trPr>
        <w:tc>
          <w:tcPr>
            <w:tcW w:w="680" w:type="dxa"/>
          </w:tcPr>
          <w:p w:rsidR="00880768" w:rsidRDefault="00880768" w:rsidP="00880768"/>
        </w:tc>
        <w:tc>
          <w:tcPr>
            <w:tcW w:w="680" w:type="dxa"/>
          </w:tcPr>
          <w:p w:rsidR="00880768" w:rsidRDefault="00880768" w:rsidP="00880768">
            <w:r>
              <w:t>45</w:t>
            </w:r>
          </w:p>
        </w:tc>
        <w:tc>
          <w:tcPr>
            <w:tcW w:w="3940" w:type="dxa"/>
          </w:tcPr>
          <w:p w:rsidR="00880768" w:rsidRDefault="00880768" w:rsidP="00880768">
            <w:r>
              <w:t>Større utstyrsanskaffelser og vedlik</w:t>
            </w:r>
            <w:r>
              <w:t>e</w:t>
            </w:r>
            <w:r>
              <w:t>hold</w:t>
            </w:r>
            <w:r>
              <w:rPr>
                <w:rStyle w:val="kursiv"/>
                <w:sz w:val="21"/>
                <w:szCs w:val="21"/>
              </w:rPr>
              <w:t xml:space="preserve">, kan overføres, kan nyttes under post 22 </w:t>
            </w:r>
          </w:p>
        </w:tc>
        <w:tc>
          <w:tcPr>
            <w:tcW w:w="1240" w:type="dxa"/>
          </w:tcPr>
          <w:p w:rsidR="00880768" w:rsidRDefault="00880768" w:rsidP="00880768"/>
        </w:tc>
        <w:tc>
          <w:tcPr>
            <w:tcW w:w="1500" w:type="dxa"/>
          </w:tcPr>
          <w:p w:rsidR="00880768" w:rsidRDefault="00880768" w:rsidP="00880768">
            <w:r>
              <w:t>20 000 000</w:t>
            </w:r>
          </w:p>
        </w:tc>
        <w:tc>
          <w:tcPr>
            <w:tcW w:w="1500" w:type="dxa"/>
          </w:tcPr>
          <w:p w:rsidR="00880768" w:rsidRDefault="00880768" w:rsidP="00880768"/>
        </w:tc>
      </w:tr>
      <w:tr w:rsidR="00880768" w:rsidTr="001E01CC">
        <w:trPr>
          <w:trHeight w:val="880"/>
        </w:trPr>
        <w:tc>
          <w:tcPr>
            <w:tcW w:w="680" w:type="dxa"/>
          </w:tcPr>
          <w:p w:rsidR="00880768" w:rsidRDefault="00880768" w:rsidP="00880768"/>
        </w:tc>
        <w:tc>
          <w:tcPr>
            <w:tcW w:w="680" w:type="dxa"/>
          </w:tcPr>
          <w:p w:rsidR="00880768" w:rsidRDefault="00880768" w:rsidP="00880768">
            <w:r>
              <w:t>60</w:t>
            </w:r>
          </w:p>
        </w:tc>
        <w:tc>
          <w:tcPr>
            <w:tcW w:w="3940" w:type="dxa"/>
          </w:tcPr>
          <w:p w:rsidR="00880768" w:rsidRDefault="00880768" w:rsidP="00880768">
            <w:r>
              <w:t>Tilskudd til flom- og skredforeby</w:t>
            </w:r>
            <w:r>
              <w:t>g</w:t>
            </w:r>
            <w:r>
              <w:t>ging</w:t>
            </w:r>
            <w:r>
              <w:rPr>
                <w:rStyle w:val="kursiv"/>
                <w:sz w:val="21"/>
                <w:szCs w:val="21"/>
              </w:rPr>
              <w:t>, kan overføres, kan nyttes under po</w:t>
            </w:r>
            <w:r>
              <w:rPr>
                <w:rStyle w:val="kursiv"/>
                <w:sz w:val="21"/>
                <w:szCs w:val="21"/>
              </w:rPr>
              <w:t>s</w:t>
            </w:r>
            <w:r>
              <w:rPr>
                <w:rStyle w:val="kursiv"/>
                <w:sz w:val="21"/>
                <w:szCs w:val="21"/>
              </w:rPr>
              <w:t xml:space="preserve">tene 22 og 72 </w:t>
            </w:r>
          </w:p>
        </w:tc>
        <w:tc>
          <w:tcPr>
            <w:tcW w:w="1240" w:type="dxa"/>
          </w:tcPr>
          <w:p w:rsidR="00880768" w:rsidRDefault="00880768" w:rsidP="00880768"/>
        </w:tc>
        <w:tc>
          <w:tcPr>
            <w:tcW w:w="1500" w:type="dxa"/>
          </w:tcPr>
          <w:p w:rsidR="00880768" w:rsidRDefault="00880768" w:rsidP="00880768">
            <w:r>
              <w:t>66 000 000</w:t>
            </w:r>
          </w:p>
        </w:tc>
        <w:tc>
          <w:tcPr>
            <w:tcW w:w="1500" w:type="dxa"/>
          </w:tcPr>
          <w:p w:rsidR="00880768" w:rsidRDefault="00880768" w:rsidP="00880768"/>
        </w:tc>
      </w:tr>
      <w:tr w:rsidR="00880768" w:rsidTr="001E01CC">
        <w:trPr>
          <w:trHeight w:val="880"/>
        </w:trPr>
        <w:tc>
          <w:tcPr>
            <w:tcW w:w="680" w:type="dxa"/>
          </w:tcPr>
          <w:p w:rsidR="00880768" w:rsidRDefault="00880768" w:rsidP="00880768"/>
        </w:tc>
        <w:tc>
          <w:tcPr>
            <w:tcW w:w="680" w:type="dxa"/>
          </w:tcPr>
          <w:p w:rsidR="00880768" w:rsidRDefault="00880768" w:rsidP="00880768">
            <w:r>
              <w:t>72</w:t>
            </w:r>
          </w:p>
        </w:tc>
        <w:tc>
          <w:tcPr>
            <w:tcW w:w="3940" w:type="dxa"/>
          </w:tcPr>
          <w:p w:rsidR="00880768" w:rsidRDefault="00880768" w:rsidP="00880768">
            <w:r>
              <w:t>Tilskudd til flom- og skredforeby</w:t>
            </w:r>
            <w:r>
              <w:t>g</w:t>
            </w:r>
            <w:r>
              <w:t>ging</w:t>
            </w:r>
            <w:r>
              <w:rPr>
                <w:rStyle w:val="kursiv"/>
                <w:sz w:val="21"/>
                <w:szCs w:val="21"/>
              </w:rPr>
              <w:t>, kan overføres, kan nyttes under po</w:t>
            </w:r>
            <w:r>
              <w:rPr>
                <w:rStyle w:val="kursiv"/>
                <w:sz w:val="21"/>
                <w:szCs w:val="21"/>
              </w:rPr>
              <w:t>s</w:t>
            </w:r>
            <w:r>
              <w:rPr>
                <w:rStyle w:val="kursiv"/>
                <w:sz w:val="21"/>
                <w:szCs w:val="21"/>
              </w:rPr>
              <w:t xml:space="preserve">tene 22 og 60 </w:t>
            </w:r>
          </w:p>
        </w:tc>
        <w:tc>
          <w:tcPr>
            <w:tcW w:w="1240" w:type="dxa"/>
          </w:tcPr>
          <w:p w:rsidR="00880768" w:rsidRDefault="00880768" w:rsidP="00880768"/>
        </w:tc>
        <w:tc>
          <w:tcPr>
            <w:tcW w:w="1500" w:type="dxa"/>
          </w:tcPr>
          <w:p w:rsidR="00880768" w:rsidRDefault="00880768" w:rsidP="00880768">
            <w:r>
              <w:t>6 000 000</w:t>
            </w:r>
          </w:p>
        </w:tc>
        <w:tc>
          <w:tcPr>
            <w:tcW w:w="1500" w:type="dxa"/>
          </w:tcPr>
          <w:p w:rsidR="00880768" w:rsidRDefault="00880768" w:rsidP="00880768"/>
        </w:tc>
      </w:tr>
      <w:tr w:rsidR="00880768" w:rsidTr="001E01CC">
        <w:trPr>
          <w:trHeight w:val="640"/>
        </w:trPr>
        <w:tc>
          <w:tcPr>
            <w:tcW w:w="680" w:type="dxa"/>
          </w:tcPr>
          <w:p w:rsidR="00880768" w:rsidRDefault="00880768" w:rsidP="00880768"/>
        </w:tc>
        <w:tc>
          <w:tcPr>
            <w:tcW w:w="680" w:type="dxa"/>
          </w:tcPr>
          <w:p w:rsidR="00880768" w:rsidRDefault="00880768" w:rsidP="00880768">
            <w:r>
              <w:t>74</w:t>
            </w:r>
          </w:p>
        </w:tc>
        <w:tc>
          <w:tcPr>
            <w:tcW w:w="3940" w:type="dxa"/>
          </w:tcPr>
          <w:p w:rsidR="00880768" w:rsidRDefault="00880768" w:rsidP="00880768">
            <w:r>
              <w:t>Tilskudd til museums- og kulturmi</w:t>
            </w:r>
            <w:r>
              <w:t>n</w:t>
            </w:r>
            <w:r>
              <w:t>netiltak</w:t>
            </w:r>
            <w:r>
              <w:rPr>
                <w:rStyle w:val="kursiv"/>
                <w:sz w:val="21"/>
                <w:szCs w:val="21"/>
              </w:rPr>
              <w:t xml:space="preserve">, kan overføres </w:t>
            </w:r>
          </w:p>
        </w:tc>
        <w:tc>
          <w:tcPr>
            <w:tcW w:w="1240" w:type="dxa"/>
          </w:tcPr>
          <w:p w:rsidR="00880768" w:rsidRDefault="00880768" w:rsidP="00880768"/>
        </w:tc>
        <w:tc>
          <w:tcPr>
            <w:tcW w:w="1500" w:type="dxa"/>
          </w:tcPr>
          <w:p w:rsidR="00880768" w:rsidRDefault="00880768" w:rsidP="00880768">
            <w:r>
              <w:t>8 600 000</w:t>
            </w:r>
          </w:p>
        </w:tc>
        <w:tc>
          <w:tcPr>
            <w:tcW w:w="1500" w:type="dxa"/>
          </w:tcPr>
          <w:p w:rsidR="00880768" w:rsidRDefault="00880768" w:rsidP="00880768">
            <w:r>
              <w:t>1 101 100 000</w:t>
            </w:r>
          </w:p>
        </w:tc>
      </w:tr>
      <w:tr w:rsidR="00880768" w:rsidTr="001E01CC">
        <w:trPr>
          <w:trHeight w:val="380"/>
        </w:trPr>
        <w:tc>
          <w:tcPr>
            <w:tcW w:w="680" w:type="dxa"/>
          </w:tcPr>
          <w:p w:rsidR="00880768" w:rsidRDefault="00880768" w:rsidP="00880768">
            <w:r>
              <w:t>2490</w:t>
            </w:r>
          </w:p>
        </w:tc>
        <w:tc>
          <w:tcPr>
            <w:tcW w:w="680" w:type="dxa"/>
          </w:tcPr>
          <w:p w:rsidR="00880768" w:rsidRDefault="00880768" w:rsidP="00880768"/>
        </w:tc>
        <w:tc>
          <w:tcPr>
            <w:tcW w:w="3940" w:type="dxa"/>
          </w:tcPr>
          <w:p w:rsidR="00880768" w:rsidRDefault="00880768" w:rsidP="00880768">
            <w:r>
              <w:t>NVE Anlegg</w:t>
            </w:r>
          </w:p>
        </w:tc>
        <w:tc>
          <w:tcPr>
            <w:tcW w:w="1240" w:type="dxa"/>
          </w:tcPr>
          <w:p w:rsidR="00880768" w:rsidRDefault="00880768" w:rsidP="00880768"/>
        </w:tc>
        <w:tc>
          <w:tcPr>
            <w:tcW w:w="1500" w:type="dxa"/>
          </w:tcPr>
          <w:p w:rsidR="00880768" w:rsidRDefault="00880768" w:rsidP="00880768"/>
        </w:tc>
        <w:tc>
          <w:tcPr>
            <w:tcW w:w="150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r>
              <w:t>24</w:t>
            </w:r>
          </w:p>
        </w:tc>
        <w:tc>
          <w:tcPr>
            <w:tcW w:w="3940" w:type="dxa"/>
          </w:tcPr>
          <w:p w:rsidR="00880768" w:rsidRDefault="00880768" w:rsidP="00880768">
            <w:r>
              <w:t xml:space="preserve">Driftsresultat </w:t>
            </w:r>
          </w:p>
        </w:tc>
        <w:tc>
          <w:tcPr>
            <w:tcW w:w="1240" w:type="dxa"/>
          </w:tcPr>
          <w:p w:rsidR="00880768" w:rsidRDefault="00880768" w:rsidP="00880768"/>
        </w:tc>
        <w:tc>
          <w:tcPr>
            <w:tcW w:w="1500" w:type="dxa"/>
          </w:tcPr>
          <w:p w:rsidR="00880768" w:rsidRDefault="00880768" w:rsidP="00880768"/>
        </w:tc>
        <w:tc>
          <w:tcPr>
            <w:tcW w:w="150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tc>
        <w:tc>
          <w:tcPr>
            <w:tcW w:w="3940" w:type="dxa"/>
          </w:tcPr>
          <w:p w:rsidR="00880768" w:rsidRDefault="00880768" w:rsidP="00880768">
            <w:r>
              <w:t xml:space="preserve">1 Driftsinntekter </w:t>
            </w:r>
          </w:p>
        </w:tc>
        <w:tc>
          <w:tcPr>
            <w:tcW w:w="1240" w:type="dxa"/>
          </w:tcPr>
          <w:p w:rsidR="00880768" w:rsidRDefault="00880768" w:rsidP="00880768">
            <w:r>
              <w:t>-80 000 000</w:t>
            </w:r>
          </w:p>
        </w:tc>
        <w:tc>
          <w:tcPr>
            <w:tcW w:w="1500" w:type="dxa"/>
          </w:tcPr>
          <w:p w:rsidR="00880768" w:rsidRDefault="00880768" w:rsidP="00880768"/>
        </w:tc>
        <w:tc>
          <w:tcPr>
            <w:tcW w:w="150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tc>
        <w:tc>
          <w:tcPr>
            <w:tcW w:w="3940" w:type="dxa"/>
          </w:tcPr>
          <w:p w:rsidR="00880768" w:rsidRDefault="00880768" w:rsidP="00880768">
            <w:r>
              <w:t xml:space="preserve">2 Driftsutgifter </w:t>
            </w:r>
          </w:p>
        </w:tc>
        <w:tc>
          <w:tcPr>
            <w:tcW w:w="1240" w:type="dxa"/>
          </w:tcPr>
          <w:p w:rsidR="00880768" w:rsidRDefault="00880768" w:rsidP="00880768">
            <w:r>
              <w:t>75 300 000</w:t>
            </w:r>
          </w:p>
        </w:tc>
        <w:tc>
          <w:tcPr>
            <w:tcW w:w="1500" w:type="dxa"/>
          </w:tcPr>
          <w:p w:rsidR="00880768" w:rsidRDefault="00880768" w:rsidP="00880768"/>
        </w:tc>
        <w:tc>
          <w:tcPr>
            <w:tcW w:w="150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tc>
        <w:tc>
          <w:tcPr>
            <w:tcW w:w="3940" w:type="dxa"/>
          </w:tcPr>
          <w:p w:rsidR="00880768" w:rsidRDefault="00880768" w:rsidP="00880768">
            <w:r>
              <w:t xml:space="preserve">3 Avskrivninger </w:t>
            </w:r>
          </w:p>
        </w:tc>
        <w:tc>
          <w:tcPr>
            <w:tcW w:w="1240" w:type="dxa"/>
          </w:tcPr>
          <w:p w:rsidR="00880768" w:rsidRDefault="00880768" w:rsidP="00880768">
            <w:r>
              <w:t>4 500 000</w:t>
            </w:r>
          </w:p>
        </w:tc>
        <w:tc>
          <w:tcPr>
            <w:tcW w:w="1500" w:type="dxa"/>
          </w:tcPr>
          <w:p w:rsidR="00880768" w:rsidRDefault="00880768" w:rsidP="00880768"/>
        </w:tc>
        <w:tc>
          <w:tcPr>
            <w:tcW w:w="150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tc>
        <w:tc>
          <w:tcPr>
            <w:tcW w:w="3940" w:type="dxa"/>
          </w:tcPr>
          <w:p w:rsidR="00880768" w:rsidRDefault="00880768" w:rsidP="00880768">
            <w:r>
              <w:t xml:space="preserve">4 Renter av statens kapital </w:t>
            </w:r>
          </w:p>
        </w:tc>
        <w:tc>
          <w:tcPr>
            <w:tcW w:w="1240" w:type="dxa"/>
          </w:tcPr>
          <w:p w:rsidR="00880768" w:rsidRDefault="00880768" w:rsidP="00880768">
            <w:r>
              <w:t>200 000</w:t>
            </w:r>
          </w:p>
        </w:tc>
        <w:tc>
          <w:tcPr>
            <w:tcW w:w="1500" w:type="dxa"/>
          </w:tcPr>
          <w:p w:rsidR="00880768" w:rsidRDefault="00880768" w:rsidP="00880768">
            <w:r>
              <w:t>0</w:t>
            </w:r>
          </w:p>
        </w:tc>
        <w:tc>
          <w:tcPr>
            <w:tcW w:w="150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tc>
        <w:tc>
          <w:tcPr>
            <w:tcW w:w="3940" w:type="dxa"/>
          </w:tcPr>
          <w:p w:rsidR="00880768" w:rsidRDefault="00880768" w:rsidP="00880768">
            <w:r>
              <w:t>Sum Energi og vannressurser</w:t>
            </w:r>
          </w:p>
        </w:tc>
        <w:tc>
          <w:tcPr>
            <w:tcW w:w="1240" w:type="dxa"/>
          </w:tcPr>
          <w:p w:rsidR="00880768" w:rsidRDefault="00880768" w:rsidP="00880768"/>
        </w:tc>
        <w:tc>
          <w:tcPr>
            <w:tcW w:w="1500" w:type="dxa"/>
          </w:tcPr>
          <w:p w:rsidR="00880768" w:rsidRDefault="00880768" w:rsidP="00880768"/>
        </w:tc>
        <w:tc>
          <w:tcPr>
            <w:tcW w:w="1500" w:type="dxa"/>
          </w:tcPr>
          <w:p w:rsidR="00880768" w:rsidRDefault="00880768" w:rsidP="00880768">
            <w:r>
              <w:t>1 101 100 000</w:t>
            </w:r>
          </w:p>
        </w:tc>
      </w:tr>
      <w:tr w:rsidR="00880768" w:rsidTr="001E01CC">
        <w:trPr>
          <w:trHeight w:val="380"/>
        </w:trPr>
        <w:tc>
          <w:tcPr>
            <w:tcW w:w="9540" w:type="dxa"/>
            <w:gridSpan w:val="6"/>
          </w:tcPr>
          <w:p w:rsidR="00880768" w:rsidRDefault="00880768" w:rsidP="00880768">
            <w:r>
              <w:t>Forskning og næringsutvikling</w:t>
            </w:r>
          </w:p>
        </w:tc>
      </w:tr>
      <w:tr w:rsidR="00880768" w:rsidTr="001E01CC">
        <w:trPr>
          <w:trHeight w:val="380"/>
        </w:trPr>
        <w:tc>
          <w:tcPr>
            <w:tcW w:w="680" w:type="dxa"/>
          </w:tcPr>
          <w:p w:rsidR="00880768" w:rsidRDefault="00880768" w:rsidP="00880768">
            <w:r>
              <w:t>1830</w:t>
            </w:r>
          </w:p>
        </w:tc>
        <w:tc>
          <w:tcPr>
            <w:tcW w:w="680" w:type="dxa"/>
          </w:tcPr>
          <w:p w:rsidR="00880768" w:rsidRDefault="00880768" w:rsidP="00880768"/>
        </w:tc>
        <w:tc>
          <w:tcPr>
            <w:tcW w:w="3940" w:type="dxa"/>
          </w:tcPr>
          <w:p w:rsidR="00880768" w:rsidRDefault="00880768" w:rsidP="00880768">
            <w:r>
              <w:t>Forskning og næringsutvikling</w:t>
            </w:r>
          </w:p>
        </w:tc>
        <w:tc>
          <w:tcPr>
            <w:tcW w:w="1240" w:type="dxa"/>
          </w:tcPr>
          <w:p w:rsidR="00880768" w:rsidRDefault="00880768" w:rsidP="00880768"/>
        </w:tc>
        <w:tc>
          <w:tcPr>
            <w:tcW w:w="1500" w:type="dxa"/>
          </w:tcPr>
          <w:p w:rsidR="00880768" w:rsidRDefault="00880768" w:rsidP="00880768"/>
        </w:tc>
        <w:tc>
          <w:tcPr>
            <w:tcW w:w="150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r>
              <w:t>50</w:t>
            </w:r>
          </w:p>
        </w:tc>
        <w:tc>
          <w:tcPr>
            <w:tcW w:w="3940" w:type="dxa"/>
          </w:tcPr>
          <w:p w:rsidR="00880768" w:rsidRDefault="00880768" w:rsidP="00880768">
            <w:r>
              <w:t xml:space="preserve">Overføring til Norges forskningsråd </w:t>
            </w:r>
          </w:p>
        </w:tc>
        <w:tc>
          <w:tcPr>
            <w:tcW w:w="1240" w:type="dxa"/>
          </w:tcPr>
          <w:p w:rsidR="00880768" w:rsidRDefault="00880768" w:rsidP="00880768"/>
        </w:tc>
        <w:tc>
          <w:tcPr>
            <w:tcW w:w="1500" w:type="dxa"/>
          </w:tcPr>
          <w:p w:rsidR="00880768" w:rsidRDefault="00880768" w:rsidP="00880768">
            <w:r>
              <w:t>800 500 000</w:t>
            </w:r>
          </w:p>
        </w:tc>
        <w:tc>
          <w:tcPr>
            <w:tcW w:w="150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r>
              <w:t>70</w:t>
            </w:r>
          </w:p>
        </w:tc>
        <w:tc>
          <w:tcPr>
            <w:tcW w:w="3940" w:type="dxa"/>
          </w:tcPr>
          <w:p w:rsidR="00880768" w:rsidRDefault="00880768" w:rsidP="00880768">
            <w:r>
              <w:t xml:space="preserve">Tilskudd til Nordisk Energiforskning </w:t>
            </w:r>
          </w:p>
        </w:tc>
        <w:tc>
          <w:tcPr>
            <w:tcW w:w="1240" w:type="dxa"/>
          </w:tcPr>
          <w:p w:rsidR="00880768" w:rsidRDefault="00880768" w:rsidP="00880768"/>
        </w:tc>
        <w:tc>
          <w:tcPr>
            <w:tcW w:w="1500" w:type="dxa"/>
          </w:tcPr>
          <w:p w:rsidR="00880768" w:rsidRDefault="00880768" w:rsidP="00880768">
            <w:r>
              <w:t>11 000 000</w:t>
            </w:r>
          </w:p>
        </w:tc>
        <w:tc>
          <w:tcPr>
            <w:tcW w:w="150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r>
              <w:t>72</w:t>
            </w:r>
          </w:p>
        </w:tc>
        <w:tc>
          <w:tcPr>
            <w:tcW w:w="3940" w:type="dxa"/>
          </w:tcPr>
          <w:p w:rsidR="00880768" w:rsidRDefault="00880768" w:rsidP="00880768">
            <w:r>
              <w:t>Tilskudd til Norwegian Energy Par</w:t>
            </w:r>
            <w:r>
              <w:t>t</w:t>
            </w:r>
            <w:r>
              <w:t xml:space="preserve">ners </w:t>
            </w:r>
          </w:p>
        </w:tc>
        <w:tc>
          <w:tcPr>
            <w:tcW w:w="1240" w:type="dxa"/>
          </w:tcPr>
          <w:p w:rsidR="00880768" w:rsidRDefault="00880768" w:rsidP="00880768"/>
        </w:tc>
        <w:tc>
          <w:tcPr>
            <w:tcW w:w="1500" w:type="dxa"/>
          </w:tcPr>
          <w:p w:rsidR="00880768" w:rsidRDefault="00880768" w:rsidP="00880768">
            <w:r>
              <w:t>34 000 000</w:t>
            </w:r>
          </w:p>
        </w:tc>
        <w:tc>
          <w:tcPr>
            <w:tcW w:w="1500" w:type="dxa"/>
          </w:tcPr>
          <w:p w:rsidR="00880768" w:rsidRDefault="00880768" w:rsidP="00880768">
            <w:r>
              <w:t>845 500 000</w:t>
            </w:r>
          </w:p>
        </w:tc>
      </w:tr>
      <w:tr w:rsidR="00880768" w:rsidTr="001E01CC">
        <w:trPr>
          <w:trHeight w:val="380"/>
        </w:trPr>
        <w:tc>
          <w:tcPr>
            <w:tcW w:w="680" w:type="dxa"/>
          </w:tcPr>
          <w:p w:rsidR="00880768" w:rsidRDefault="00880768" w:rsidP="00880768"/>
        </w:tc>
        <w:tc>
          <w:tcPr>
            <w:tcW w:w="680" w:type="dxa"/>
          </w:tcPr>
          <w:p w:rsidR="00880768" w:rsidRDefault="00880768" w:rsidP="00880768"/>
        </w:tc>
        <w:tc>
          <w:tcPr>
            <w:tcW w:w="3940" w:type="dxa"/>
          </w:tcPr>
          <w:p w:rsidR="00880768" w:rsidRDefault="00880768" w:rsidP="00880768">
            <w:r>
              <w:t>Sum Forskning og næringsutvikling</w:t>
            </w:r>
          </w:p>
        </w:tc>
        <w:tc>
          <w:tcPr>
            <w:tcW w:w="1240" w:type="dxa"/>
          </w:tcPr>
          <w:p w:rsidR="00880768" w:rsidRDefault="00880768" w:rsidP="00880768"/>
        </w:tc>
        <w:tc>
          <w:tcPr>
            <w:tcW w:w="1500" w:type="dxa"/>
          </w:tcPr>
          <w:p w:rsidR="00880768" w:rsidRDefault="00880768" w:rsidP="00880768"/>
        </w:tc>
        <w:tc>
          <w:tcPr>
            <w:tcW w:w="1500" w:type="dxa"/>
          </w:tcPr>
          <w:p w:rsidR="00880768" w:rsidRDefault="00880768" w:rsidP="00880768">
            <w:r>
              <w:t>845 500 000</w:t>
            </w:r>
          </w:p>
        </w:tc>
      </w:tr>
      <w:tr w:rsidR="00880768" w:rsidTr="001E01CC">
        <w:trPr>
          <w:trHeight w:val="380"/>
        </w:trPr>
        <w:tc>
          <w:tcPr>
            <w:tcW w:w="9540" w:type="dxa"/>
            <w:gridSpan w:val="6"/>
          </w:tcPr>
          <w:p w:rsidR="00880768" w:rsidRDefault="00880768" w:rsidP="00880768">
            <w:r>
              <w:t>CO</w:t>
            </w:r>
            <w:r>
              <w:rPr>
                <w:rStyle w:val="skrift-senket"/>
                <w:sz w:val="21"/>
                <w:szCs w:val="21"/>
              </w:rPr>
              <w:t>2</w:t>
            </w:r>
            <w:r>
              <w:t>-håndtering</w:t>
            </w:r>
          </w:p>
        </w:tc>
      </w:tr>
      <w:tr w:rsidR="00880768" w:rsidTr="001E01CC">
        <w:trPr>
          <w:trHeight w:val="380"/>
        </w:trPr>
        <w:tc>
          <w:tcPr>
            <w:tcW w:w="680" w:type="dxa"/>
          </w:tcPr>
          <w:p w:rsidR="00880768" w:rsidRDefault="00880768" w:rsidP="00880768">
            <w:r>
              <w:t>1840</w:t>
            </w:r>
          </w:p>
        </w:tc>
        <w:tc>
          <w:tcPr>
            <w:tcW w:w="680" w:type="dxa"/>
          </w:tcPr>
          <w:p w:rsidR="00880768" w:rsidRDefault="00880768" w:rsidP="00880768"/>
        </w:tc>
        <w:tc>
          <w:tcPr>
            <w:tcW w:w="3940" w:type="dxa"/>
          </w:tcPr>
          <w:p w:rsidR="00880768" w:rsidRDefault="00880768" w:rsidP="00880768">
            <w:r>
              <w:t>CO</w:t>
            </w:r>
            <w:r>
              <w:rPr>
                <w:rStyle w:val="skrift-senket"/>
                <w:sz w:val="21"/>
                <w:szCs w:val="21"/>
              </w:rPr>
              <w:t>2</w:t>
            </w:r>
            <w:r>
              <w:t>-håndtering</w:t>
            </w:r>
          </w:p>
        </w:tc>
        <w:tc>
          <w:tcPr>
            <w:tcW w:w="1240" w:type="dxa"/>
          </w:tcPr>
          <w:p w:rsidR="00880768" w:rsidRDefault="00880768" w:rsidP="00880768"/>
        </w:tc>
        <w:tc>
          <w:tcPr>
            <w:tcW w:w="1500" w:type="dxa"/>
          </w:tcPr>
          <w:p w:rsidR="00880768" w:rsidRDefault="00880768" w:rsidP="00880768"/>
        </w:tc>
        <w:tc>
          <w:tcPr>
            <w:tcW w:w="1500" w:type="dxa"/>
          </w:tcPr>
          <w:p w:rsidR="00880768" w:rsidRDefault="00880768" w:rsidP="00880768"/>
        </w:tc>
      </w:tr>
      <w:tr w:rsidR="00880768" w:rsidTr="001E01CC">
        <w:trPr>
          <w:trHeight w:val="640"/>
        </w:trPr>
        <w:tc>
          <w:tcPr>
            <w:tcW w:w="680" w:type="dxa"/>
          </w:tcPr>
          <w:p w:rsidR="00880768" w:rsidRDefault="00880768" w:rsidP="00880768"/>
        </w:tc>
        <w:tc>
          <w:tcPr>
            <w:tcW w:w="680" w:type="dxa"/>
          </w:tcPr>
          <w:p w:rsidR="00880768" w:rsidRDefault="00880768" w:rsidP="00880768">
            <w:r>
              <w:t>50</w:t>
            </w:r>
          </w:p>
        </w:tc>
        <w:tc>
          <w:tcPr>
            <w:tcW w:w="3940" w:type="dxa"/>
          </w:tcPr>
          <w:p w:rsidR="00880768" w:rsidRDefault="00880768" w:rsidP="00880768">
            <w:r>
              <w:t>Forskning, utvikling og demonstrasjon av CO</w:t>
            </w:r>
            <w:r>
              <w:rPr>
                <w:rStyle w:val="skrift-senket"/>
                <w:sz w:val="21"/>
                <w:szCs w:val="21"/>
              </w:rPr>
              <w:t>2</w:t>
            </w:r>
            <w:r>
              <w:t xml:space="preserve">-håndtering </w:t>
            </w:r>
          </w:p>
        </w:tc>
        <w:tc>
          <w:tcPr>
            <w:tcW w:w="1240" w:type="dxa"/>
          </w:tcPr>
          <w:p w:rsidR="00880768" w:rsidRDefault="00880768" w:rsidP="00880768"/>
        </w:tc>
        <w:tc>
          <w:tcPr>
            <w:tcW w:w="1500" w:type="dxa"/>
          </w:tcPr>
          <w:p w:rsidR="00880768" w:rsidRDefault="00880768" w:rsidP="00880768">
            <w:r>
              <w:t>186 500 000</w:t>
            </w:r>
          </w:p>
        </w:tc>
        <w:tc>
          <w:tcPr>
            <w:tcW w:w="1500" w:type="dxa"/>
          </w:tcPr>
          <w:p w:rsidR="00880768" w:rsidRDefault="00880768" w:rsidP="00880768"/>
        </w:tc>
      </w:tr>
      <w:tr w:rsidR="00880768" w:rsidTr="001E01CC">
        <w:trPr>
          <w:trHeight w:val="640"/>
        </w:trPr>
        <w:tc>
          <w:tcPr>
            <w:tcW w:w="680" w:type="dxa"/>
          </w:tcPr>
          <w:p w:rsidR="00880768" w:rsidRDefault="00880768" w:rsidP="00880768"/>
        </w:tc>
        <w:tc>
          <w:tcPr>
            <w:tcW w:w="680" w:type="dxa"/>
          </w:tcPr>
          <w:p w:rsidR="00880768" w:rsidRDefault="00880768" w:rsidP="00880768">
            <w:r>
              <w:t>70</w:t>
            </w:r>
          </w:p>
        </w:tc>
        <w:tc>
          <w:tcPr>
            <w:tcW w:w="3940" w:type="dxa"/>
          </w:tcPr>
          <w:p w:rsidR="00880768" w:rsidRDefault="00880768" w:rsidP="00880768">
            <w:r>
              <w:t>Administrasjon, Gassnova SF</w:t>
            </w:r>
            <w:r>
              <w:rPr>
                <w:rStyle w:val="kursiv"/>
                <w:sz w:val="21"/>
                <w:szCs w:val="21"/>
              </w:rPr>
              <w:t xml:space="preserve">, kan </w:t>
            </w:r>
            <w:r>
              <w:rPr>
                <w:rStyle w:val="kursiv"/>
                <w:sz w:val="21"/>
                <w:szCs w:val="21"/>
              </w:rPr>
              <w:br/>
              <w:t xml:space="preserve">overføres, kan nyttes under post 72 </w:t>
            </w:r>
          </w:p>
        </w:tc>
        <w:tc>
          <w:tcPr>
            <w:tcW w:w="1240" w:type="dxa"/>
          </w:tcPr>
          <w:p w:rsidR="00880768" w:rsidRDefault="00880768" w:rsidP="00880768"/>
        </w:tc>
        <w:tc>
          <w:tcPr>
            <w:tcW w:w="1500" w:type="dxa"/>
          </w:tcPr>
          <w:p w:rsidR="00880768" w:rsidRDefault="00880768" w:rsidP="00880768">
            <w:r>
              <w:t>126 000 000</w:t>
            </w:r>
          </w:p>
        </w:tc>
        <w:tc>
          <w:tcPr>
            <w:tcW w:w="1500" w:type="dxa"/>
          </w:tcPr>
          <w:p w:rsidR="00880768" w:rsidRDefault="00880768" w:rsidP="00880768"/>
        </w:tc>
      </w:tr>
      <w:tr w:rsidR="00880768" w:rsidTr="001E01CC">
        <w:trPr>
          <w:trHeight w:val="640"/>
        </w:trPr>
        <w:tc>
          <w:tcPr>
            <w:tcW w:w="680" w:type="dxa"/>
          </w:tcPr>
          <w:p w:rsidR="00880768" w:rsidRDefault="00880768" w:rsidP="00880768"/>
        </w:tc>
        <w:tc>
          <w:tcPr>
            <w:tcW w:w="680" w:type="dxa"/>
          </w:tcPr>
          <w:p w:rsidR="00880768" w:rsidRDefault="00880768" w:rsidP="00880768">
            <w:r>
              <w:t>71</w:t>
            </w:r>
          </w:p>
        </w:tc>
        <w:tc>
          <w:tcPr>
            <w:tcW w:w="3940" w:type="dxa"/>
          </w:tcPr>
          <w:p w:rsidR="00880768" w:rsidRDefault="00880768" w:rsidP="00880768">
            <w:r>
              <w:t xml:space="preserve">Tilskudd til Teknologisenter for </w:t>
            </w:r>
            <w:r>
              <w:rPr>
                <w:sz w:val="22"/>
              </w:rPr>
              <w:br/>
            </w:r>
            <w:r>
              <w:t>CO</w:t>
            </w:r>
            <w:r>
              <w:rPr>
                <w:rStyle w:val="skrift-senket"/>
                <w:sz w:val="21"/>
                <w:szCs w:val="21"/>
              </w:rPr>
              <w:t>2</w:t>
            </w:r>
            <w:r>
              <w:t xml:space="preserve">-fangst på Mongstad </w:t>
            </w:r>
          </w:p>
        </w:tc>
        <w:tc>
          <w:tcPr>
            <w:tcW w:w="1240" w:type="dxa"/>
          </w:tcPr>
          <w:p w:rsidR="00880768" w:rsidRDefault="00880768" w:rsidP="00880768"/>
        </w:tc>
        <w:tc>
          <w:tcPr>
            <w:tcW w:w="1500" w:type="dxa"/>
          </w:tcPr>
          <w:p w:rsidR="00880768" w:rsidRDefault="00880768" w:rsidP="00880768">
            <w:r>
              <w:t>208 000 000</w:t>
            </w:r>
          </w:p>
        </w:tc>
        <w:tc>
          <w:tcPr>
            <w:tcW w:w="1500" w:type="dxa"/>
          </w:tcPr>
          <w:p w:rsidR="00880768" w:rsidRDefault="00880768" w:rsidP="00880768"/>
        </w:tc>
      </w:tr>
      <w:tr w:rsidR="00880768" w:rsidTr="001E01CC">
        <w:trPr>
          <w:trHeight w:val="640"/>
        </w:trPr>
        <w:tc>
          <w:tcPr>
            <w:tcW w:w="680" w:type="dxa"/>
          </w:tcPr>
          <w:p w:rsidR="00880768" w:rsidRDefault="00880768" w:rsidP="00880768"/>
        </w:tc>
        <w:tc>
          <w:tcPr>
            <w:tcW w:w="680" w:type="dxa"/>
          </w:tcPr>
          <w:p w:rsidR="00880768" w:rsidRDefault="00880768" w:rsidP="00880768">
            <w:r>
              <w:t>72</w:t>
            </w:r>
          </w:p>
        </w:tc>
        <w:tc>
          <w:tcPr>
            <w:tcW w:w="3940" w:type="dxa"/>
          </w:tcPr>
          <w:p w:rsidR="00880768" w:rsidRDefault="00880768" w:rsidP="00880768">
            <w:r>
              <w:t>Fullskala CO</w:t>
            </w:r>
            <w:r>
              <w:rPr>
                <w:rStyle w:val="skrift-senket"/>
                <w:sz w:val="21"/>
                <w:szCs w:val="21"/>
              </w:rPr>
              <w:t>2</w:t>
            </w:r>
            <w:r>
              <w:t>-håndtering</w:t>
            </w:r>
            <w:r>
              <w:rPr>
                <w:rStyle w:val="kursiv"/>
                <w:sz w:val="21"/>
                <w:szCs w:val="21"/>
              </w:rPr>
              <w:t>, kan overf</w:t>
            </w:r>
            <w:r>
              <w:rPr>
                <w:rStyle w:val="kursiv"/>
                <w:sz w:val="21"/>
                <w:szCs w:val="21"/>
              </w:rPr>
              <w:t>ø</w:t>
            </w:r>
            <w:r>
              <w:rPr>
                <w:rStyle w:val="kursiv"/>
                <w:sz w:val="21"/>
                <w:szCs w:val="21"/>
              </w:rPr>
              <w:t xml:space="preserve">res, kan nyttes under post 70 </w:t>
            </w:r>
          </w:p>
        </w:tc>
        <w:tc>
          <w:tcPr>
            <w:tcW w:w="1240" w:type="dxa"/>
          </w:tcPr>
          <w:p w:rsidR="00880768" w:rsidRDefault="00880768" w:rsidP="00880768"/>
        </w:tc>
        <w:tc>
          <w:tcPr>
            <w:tcW w:w="1500" w:type="dxa"/>
          </w:tcPr>
          <w:p w:rsidR="00880768" w:rsidRDefault="00880768" w:rsidP="00880768">
            <w:r>
              <w:t>149 000 000</w:t>
            </w:r>
          </w:p>
        </w:tc>
        <w:tc>
          <w:tcPr>
            <w:tcW w:w="1500" w:type="dxa"/>
          </w:tcPr>
          <w:p w:rsidR="00880768" w:rsidRDefault="00880768" w:rsidP="00880768">
            <w:r>
              <w:t>669 500 000</w:t>
            </w:r>
          </w:p>
        </w:tc>
      </w:tr>
      <w:tr w:rsidR="00880768" w:rsidTr="001E01CC">
        <w:trPr>
          <w:trHeight w:val="380"/>
        </w:trPr>
        <w:tc>
          <w:tcPr>
            <w:tcW w:w="680" w:type="dxa"/>
          </w:tcPr>
          <w:p w:rsidR="00880768" w:rsidRDefault="00880768" w:rsidP="00880768"/>
        </w:tc>
        <w:tc>
          <w:tcPr>
            <w:tcW w:w="680" w:type="dxa"/>
          </w:tcPr>
          <w:p w:rsidR="00880768" w:rsidRDefault="00880768" w:rsidP="00880768"/>
        </w:tc>
        <w:tc>
          <w:tcPr>
            <w:tcW w:w="3940" w:type="dxa"/>
          </w:tcPr>
          <w:p w:rsidR="00880768" w:rsidRDefault="00880768" w:rsidP="00880768">
            <w:r>
              <w:t>Sum CO</w:t>
            </w:r>
            <w:r>
              <w:rPr>
                <w:rStyle w:val="skrift-senket"/>
                <w:sz w:val="21"/>
                <w:szCs w:val="21"/>
              </w:rPr>
              <w:t>2</w:t>
            </w:r>
            <w:r>
              <w:t>-håndtering</w:t>
            </w:r>
          </w:p>
        </w:tc>
        <w:tc>
          <w:tcPr>
            <w:tcW w:w="1240" w:type="dxa"/>
          </w:tcPr>
          <w:p w:rsidR="00880768" w:rsidRDefault="00880768" w:rsidP="00880768"/>
        </w:tc>
        <w:tc>
          <w:tcPr>
            <w:tcW w:w="1500" w:type="dxa"/>
          </w:tcPr>
          <w:p w:rsidR="00880768" w:rsidRDefault="00880768" w:rsidP="00880768"/>
        </w:tc>
        <w:tc>
          <w:tcPr>
            <w:tcW w:w="1500" w:type="dxa"/>
          </w:tcPr>
          <w:p w:rsidR="00880768" w:rsidRDefault="00880768" w:rsidP="00880768">
            <w:r>
              <w:t>669 500 000</w:t>
            </w:r>
          </w:p>
        </w:tc>
      </w:tr>
      <w:tr w:rsidR="00880768" w:rsidTr="001E01CC">
        <w:trPr>
          <w:trHeight w:val="380"/>
        </w:trPr>
        <w:tc>
          <w:tcPr>
            <w:tcW w:w="680" w:type="dxa"/>
          </w:tcPr>
          <w:p w:rsidR="00880768" w:rsidRDefault="00880768" w:rsidP="00880768"/>
        </w:tc>
        <w:tc>
          <w:tcPr>
            <w:tcW w:w="680" w:type="dxa"/>
          </w:tcPr>
          <w:p w:rsidR="00880768" w:rsidRDefault="00880768" w:rsidP="00880768"/>
        </w:tc>
        <w:tc>
          <w:tcPr>
            <w:tcW w:w="3940" w:type="dxa"/>
          </w:tcPr>
          <w:p w:rsidR="00880768" w:rsidRDefault="00880768" w:rsidP="00880768">
            <w:r>
              <w:t>Sum departementets utgifter</w:t>
            </w:r>
          </w:p>
        </w:tc>
        <w:tc>
          <w:tcPr>
            <w:tcW w:w="1240" w:type="dxa"/>
          </w:tcPr>
          <w:p w:rsidR="00880768" w:rsidRDefault="00880768" w:rsidP="00880768"/>
        </w:tc>
        <w:tc>
          <w:tcPr>
            <w:tcW w:w="1500" w:type="dxa"/>
          </w:tcPr>
          <w:p w:rsidR="00880768" w:rsidRDefault="00880768" w:rsidP="00880768"/>
        </w:tc>
        <w:tc>
          <w:tcPr>
            <w:tcW w:w="1500" w:type="dxa"/>
          </w:tcPr>
          <w:p w:rsidR="00880768" w:rsidRDefault="00880768" w:rsidP="00880768">
            <w:r>
              <w:t>30 723 146 000</w:t>
            </w:r>
          </w:p>
        </w:tc>
      </w:tr>
    </w:tbl>
    <w:p w:rsidR="00880768" w:rsidRDefault="001E01CC" w:rsidP="001E01CC">
      <w:pPr>
        <w:pStyle w:val="a-vedtak-tekst"/>
      </w:pPr>
      <w:r>
        <w:t>Inntekter:</w:t>
      </w:r>
    </w:p>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880768" w:rsidTr="001E01CC">
        <w:trPr>
          <w:trHeight w:val="860"/>
        </w:trPr>
        <w:tc>
          <w:tcPr>
            <w:tcW w:w="680" w:type="dxa"/>
            <w:shd w:val="clear" w:color="auto" w:fill="FFFFFF"/>
          </w:tcPr>
          <w:p w:rsidR="00880768" w:rsidRDefault="00880768" w:rsidP="00880768">
            <w:pPr>
              <w:pStyle w:val="Tabellnavn"/>
            </w:pPr>
            <w:r>
              <w:t>VK</w:t>
            </w:r>
          </w:p>
          <w:p w:rsidR="00880768" w:rsidRDefault="00880768" w:rsidP="00B52901">
            <w:r>
              <w:t>Kap.</w:t>
            </w:r>
          </w:p>
        </w:tc>
        <w:tc>
          <w:tcPr>
            <w:tcW w:w="680" w:type="dxa"/>
          </w:tcPr>
          <w:p w:rsidR="00880768" w:rsidRDefault="00880768" w:rsidP="00880768">
            <w:r>
              <w:t>Post</w:t>
            </w:r>
          </w:p>
        </w:tc>
        <w:tc>
          <w:tcPr>
            <w:tcW w:w="3440" w:type="dxa"/>
          </w:tcPr>
          <w:p w:rsidR="00880768" w:rsidRDefault="00880768" w:rsidP="00880768"/>
        </w:tc>
        <w:tc>
          <w:tcPr>
            <w:tcW w:w="1580" w:type="dxa"/>
          </w:tcPr>
          <w:p w:rsidR="00880768" w:rsidRDefault="00880768" w:rsidP="00880768">
            <w:r>
              <w:t>Kroner</w:t>
            </w:r>
          </w:p>
        </w:tc>
        <w:tc>
          <w:tcPr>
            <w:tcW w:w="1580" w:type="dxa"/>
          </w:tcPr>
          <w:p w:rsidR="00880768" w:rsidRDefault="00880768" w:rsidP="00880768">
            <w:r>
              <w:t>Kroner</w:t>
            </w:r>
          </w:p>
        </w:tc>
        <w:tc>
          <w:tcPr>
            <w:tcW w:w="1580" w:type="dxa"/>
          </w:tcPr>
          <w:p w:rsidR="00880768" w:rsidRDefault="00880768" w:rsidP="00880768">
            <w:r>
              <w:t>Kroner</w:t>
            </w:r>
          </w:p>
        </w:tc>
      </w:tr>
      <w:tr w:rsidR="00880768" w:rsidTr="001E01CC">
        <w:trPr>
          <w:trHeight w:val="380"/>
        </w:trPr>
        <w:tc>
          <w:tcPr>
            <w:tcW w:w="9540" w:type="dxa"/>
            <w:gridSpan w:val="6"/>
          </w:tcPr>
          <w:p w:rsidR="00880768" w:rsidRDefault="00880768" w:rsidP="00880768">
            <w:r>
              <w:t>Ordinære inntekter</w:t>
            </w:r>
          </w:p>
        </w:tc>
      </w:tr>
      <w:tr w:rsidR="00880768" w:rsidTr="001E01CC">
        <w:trPr>
          <w:trHeight w:val="380"/>
        </w:trPr>
        <w:tc>
          <w:tcPr>
            <w:tcW w:w="680" w:type="dxa"/>
          </w:tcPr>
          <w:p w:rsidR="00880768" w:rsidRDefault="00880768" w:rsidP="00880768">
            <w:r>
              <w:t>4800</w:t>
            </w:r>
          </w:p>
        </w:tc>
        <w:tc>
          <w:tcPr>
            <w:tcW w:w="680" w:type="dxa"/>
          </w:tcPr>
          <w:p w:rsidR="00880768" w:rsidRDefault="00880768" w:rsidP="00880768"/>
        </w:tc>
        <w:tc>
          <w:tcPr>
            <w:tcW w:w="3440" w:type="dxa"/>
          </w:tcPr>
          <w:p w:rsidR="00880768" w:rsidRDefault="00880768" w:rsidP="00880768">
            <w:r>
              <w:t>Olje- og energidepartementet</w:t>
            </w:r>
          </w:p>
        </w:tc>
        <w:tc>
          <w:tcPr>
            <w:tcW w:w="1580" w:type="dxa"/>
          </w:tcPr>
          <w:p w:rsidR="00880768" w:rsidRDefault="00880768" w:rsidP="00880768"/>
        </w:tc>
        <w:tc>
          <w:tcPr>
            <w:tcW w:w="1580" w:type="dxa"/>
          </w:tcPr>
          <w:p w:rsidR="00880768" w:rsidRDefault="00880768" w:rsidP="00880768"/>
        </w:tc>
        <w:tc>
          <w:tcPr>
            <w:tcW w:w="158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r>
              <w:t>10</w:t>
            </w:r>
          </w:p>
        </w:tc>
        <w:tc>
          <w:tcPr>
            <w:tcW w:w="3440" w:type="dxa"/>
          </w:tcPr>
          <w:p w:rsidR="00880768" w:rsidRDefault="00880768" w:rsidP="00880768">
            <w:r>
              <w:t>Refusjoner</w:t>
            </w:r>
          </w:p>
        </w:tc>
        <w:tc>
          <w:tcPr>
            <w:tcW w:w="1580" w:type="dxa"/>
          </w:tcPr>
          <w:p w:rsidR="00880768" w:rsidRDefault="00880768" w:rsidP="00880768"/>
        </w:tc>
        <w:tc>
          <w:tcPr>
            <w:tcW w:w="1580" w:type="dxa"/>
          </w:tcPr>
          <w:p w:rsidR="00880768" w:rsidRDefault="00880768" w:rsidP="00880768">
            <w:r>
              <w:t>683 000</w:t>
            </w:r>
          </w:p>
        </w:tc>
        <w:tc>
          <w:tcPr>
            <w:tcW w:w="158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r>
              <w:t>70</w:t>
            </w:r>
          </w:p>
        </w:tc>
        <w:tc>
          <w:tcPr>
            <w:tcW w:w="3440" w:type="dxa"/>
          </w:tcPr>
          <w:p w:rsidR="00880768" w:rsidRDefault="00880768" w:rsidP="00880768">
            <w:r>
              <w:t>Garantiprovisjon, Gassco</w:t>
            </w:r>
          </w:p>
        </w:tc>
        <w:tc>
          <w:tcPr>
            <w:tcW w:w="1580" w:type="dxa"/>
          </w:tcPr>
          <w:p w:rsidR="00880768" w:rsidRDefault="00880768" w:rsidP="00880768"/>
        </w:tc>
        <w:tc>
          <w:tcPr>
            <w:tcW w:w="1580" w:type="dxa"/>
          </w:tcPr>
          <w:p w:rsidR="00880768" w:rsidRDefault="00880768" w:rsidP="00880768">
            <w:r>
              <w:t>1 400 000</w:t>
            </w:r>
          </w:p>
        </w:tc>
        <w:tc>
          <w:tcPr>
            <w:tcW w:w="1580" w:type="dxa"/>
          </w:tcPr>
          <w:p w:rsidR="00880768" w:rsidRDefault="00880768" w:rsidP="00880768">
            <w:r>
              <w:t>2 083 000</w:t>
            </w:r>
          </w:p>
        </w:tc>
      </w:tr>
      <w:tr w:rsidR="00880768" w:rsidTr="001E01CC">
        <w:trPr>
          <w:trHeight w:val="380"/>
        </w:trPr>
        <w:tc>
          <w:tcPr>
            <w:tcW w:w="680" w:type="dxa"/>
          </w:tcPr>
          <w:p w:rsidR="00880768" w:rsidRDefault="00880768" w:rsidP="00880768">
            <w:r>
              <w:lastRenderedPageBreak/>
              <w:t>4810</w:t>
            </w:r>
          </w:p>
        </w:tc>
        <w:tc>
          <w:tcPr>
            <w:tcW w:w="680" w:type="dxa"/>
          </w:tcPr>
          <w:p w:rsidR="00880768" w:rsidRDefault="00880768" w:rsidP="00880768"/>
        </w:tc>
        <w:tc>
          <w:tcPr>
            <w:tcW w:w="3440" w:type="dxa"/>
          </w:tcPr>
          <w:p w:rsidR="00880768" w:rsidRDefault="00880768" w:rsidP="00880768">
            <w:r>
              <w:t>Oljedirektoratet</w:t>
            </w:r>
          </w:p>
        </w:tc>
        <w:tc>
          <w:tcPr>
            <w:tcW w:w="1580" w:type="dxa"/>
          </w:tcPr>
          <w:p w:rsidR="00880768" w:rsidRDefault="00880768" w:rsidP="00880768"/>
        </w:tc>
        <w:tc>
          <w:tcPr>
            <w:tcW w:w="1580" w:type="dxa"/>
          </w:tcPr>
          <w:p w:rsidR="00880768" w:rsidRDefault="00880768" w:rsidP="00880768"/>
        </w:tc>
        <w:tc>
          <w:tcPr>
            <w:tcW w:w="158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r>
              <w:t>01</w:t>
            </w:r>
          </w:p>
        </w:tc>
        <w:tc>
          <w:tcPr>
            <w:tcW w:w="3440" w:type="dxa"/>
          </w:tcPr>
          <w:p w:rsidR="00880768" w:rsidRDefault="00880768" w:rsidP="00880768">
            <w:r>
              <w:t>Gebyrinntekter</w:t>
            </w:r>
          </w:p>
        </w:tc>
        <w:tc>
          <w:tcPr>
            <w:tcW w:w="1580" w:type="dxa"/>
          </w:tcPr>
          <w:p w:rsidR="00880768" w:rsidRDefault="00880768" w:rsidP="00880768"/>
        </w:tc>
        <w:tc>
          <w:tcPr>
            <w:tcW w:w="1580" w:type="dxa"/>
          </w:tcPr>
          <w:p w:rsidR="00880768" w:rsidRDefault="00880768" w:rsidP="00880768">
            <w:r>
              <w:t>26 500 000</w:t>
            </w:r>
          </w:p>
        </w:tc>
        <w:tc>
          <w:tcPr>
            <w:tcW w:w="158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r>
              <w:t>02</w:t>
            </w:r>
          </w:p>
        </w:tc>
        <w:tc>
          <w:tcPr>
            <w:tcW w:w="3440" w:type="dxa"/>
          </w:tcPr>
          <w:p w:rsidR="00880768" w:rsidRDefault="00880768" w:rsidP="00880768">
            <w:r>
              <w:t>Oppdrags- og samarbeidsinnte</w:t>
            </w:r>
            <w:r>
              <w:t>k</w:t>
            </w:r>
            <w:r>
              <w:t>ter</w:t>
            </w:r>
          </w:p>
        </w:tc>
        <w:tc>
          <w:tcPr>
            <w:tcW w:w="1580" w:type="dxa"/>
          </w:tcPr>
          <w:p w:rsidR="00880768" w:rsidRDefault="00880768" w:rsidP="00880768"/>
        </w:tc>
        <w:tc>
          <w:tcPr>
            <w:tcW w:w="1580" w:type="dxa"/>
          </w:tcPr>
          <w:p w:rsidR="00880768" w:rsidRDefault="00880768" w:rsidP="00880768">
            <w:r>
              <w:t>119 000 000</w:t>
            </w:r>
          </w:p>
        </w:tc>
        <w:tc>
          <w:tcPr>
            <w:tcW w:w="1580" w:type="dxa"/>
          </w:tcPr>
          <w:p w:rsidR="00880768" w:rsidRDefault="00880768" w:rsidP="00880768">
            <w:r>
              <w:t>145 500 000</w:t>
            </w:r>
          </w:p>
        </w:tc>
      </w:tr>
      <w:tr w:rsidR="00880768" w:rsidTr="001E01CC">
        <w:trPr>
          <w:trHeight w:val="640"/>
        </w:trPr>
        <w:tc>
          <w:tcPr>
            <w:tcW w:w="680" w:type="dxa"/>
          </w:tcPr>
          <w:p w:rsidR="00880768" w:rsidRDefault="00880768" w:rsidP="00880768">
            <w:r>
              <w:t>4820</w:t>
            </w:r>
          </w:p>
        </w:tc>
        <w:tc>
          <w:tcPr>
            <w:tcW w:w="680" w:type="dxa"/>
          </w:tcPr>
          <w:p w:rsidR="00880768" w:rsidRDefault="00880768" w:rsidP="00880768"/>
        </w:tc>
        <w:tc>
          <w:tcPr>
            <w:tcW w:w="3440" w:type="dxa"/>
          </w:tcPr>
          <w:p w:rsidR="00880768" w:rsidRDefault="00880768" w:rsidP="00880768">
            <w:r>
              <w:t>Norges vassdrags- og energid</w:t>
            </w:r>
            <w:r>
              <w:t>i</w:t>
            </w:r>
            <w:r>
              <w:t>rektorat</w:t>
            </w:r>
          </w:p>
        </w:tc>
        <w:tc>
          <w:tcPr>
            <w:tcW w:w="1580" w:type="dxa"/>
          </w:tcPr>
          <w:p w:rsidR="00880768" w:rsidRDefault="00880768" w:rsidP="00880768"/>
        </w:tc>
        <w:tc>
          <w:tcPr>
            <w:tcW w:w="1580" w:type="dxa"/>
          </w:tcPr>
          <w:p w:rsidR="00880768" w:rsidRDefault="00880768" w:rsidP="00880768"/>
        </w:tc>
        <w:tc>
          <w:tcPr>
            <w:tcW w:w="158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r>
              <w:t>01</w:t>
            </w:r>
          </w:p>
        </w:tc>
        <w:tc>
          <w:tcPr>
            <w:tcW w:w="3440" w:type="dxa"/>
          </w:tcPr>
          <w:p w:rsidR="00880768" w:rsidRDefault="00880768" w:rsidP="00880768">
            <w:r>
              <w:t>Gebyrinntekter</w:t>
            </w:r>
          </w:p>
        </w:tc>
        <w:tc>
          <w:tcPr>
            <w:tcW w:w="1580" w:type="dxa"/>
          </w:tcPr>
          <w:p w:rsidR="00880768" w:rsidRDefault="00880768" w:rsidP="00880768"/>
        </w:tc>
        <w:tc>
          <w:tcPr>
            <w:tcW w:w="1580" w:type="dxa"/>
          </w:tcPr>
          <w:p w:rsidR="00880768" w:rsidRDefault="00880768" w:rsidP="00880768">
            <w:r>
              <w:t>78 000 000</w:t>
            </w:r>
          </w:p>
        </w:tc>
        <w:tc>
          <w:tcPr>
            <w:tcW w:w="158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r>
              <w:t>02</w:t>
            </w:r>
          </w:p>
        </w:tc>
        <w:tc>
          <w:tcPr>
            <w:tcW w:w="3440" w:type="dxa"/>
          </w:tcPr>
          <w:p w:rsidR="00880768" w:rsidRDefault="00880768" w:rsidP="00880768">
            <w:r>
              <w:t>Oppdrags- og samarbeidsinnte</w:t>
            </w:r>
            <w:r>
              <w:t>k</w:t>
            </w:r>
            <w:r>
              <w:t>ter</w:t>
            </w:r>
          </w:p>
        </w:tc>
        <w:tc>
          <w:tcPr>
            <w:tcW w:w="1580" w:type="dxa"/>
          </w:tcPr>
          <w:p w:rsidR="00880768" w:rsidRDefault="00880768" w:rsidP="00880768"/>
        </w:tc>
        <w:tc>
          <w:tcPr>
            <w:tcW w:w="1580" w:type="dxa"/>
          </w:tcPr>
          <w:p w:rsidR="00880768" w:rsidRDefault="00880768" w:rsidP="00880768">
            <w:r>
              <w:t>89 000 000</w:t>
            </w:r>
          </w:p>
        </w:tc>
        <w:tc>
          <w:tcPr>
            <w:tcW w:w="158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r>
              <w:t>40</w:t>
            </w:r>
          </w:p>
        </w:tc>
        <w:tc>
          <w:tcPr>
            <w:tcW w:w="3440" w:type="dxa"/>
          </w:tcPr>
          <w:p w:rsidR="00880768" w:rsidRDefault="00880768" w:rsidP="00880768">
            <w:r>
              <w:t>Flom- og skredforebygging</w:t>
            </w:r>
          </w:p>
        </w:tc>
        <w:tc>
          <w:tcPr>
            <w:tcW w:w="1580" w:type="dxa"/>
          </w:tcPr>
          <w:p w:rsidR="00880768" w:rsidRDefault="00880768" w:rsidP="00880768"/>
        </w:tc>
        <w:tc>
          <w:tcPr>
            <w:tcW w:w="1580" w:type="dxa"/>
          </w:tcPr>
          <w:p w:rsidR="00880768" w:rsidRDefault="00880768" w:rsidP="00880768">
            <w:r>
              <w:t>27 000 000</w:t>
            </w:r>
          </w:p>
        </w:tc>
        <w:tc>
          <w:tcPr>
            <w:tcW w:w="1580" w:type="dxa"/>
          </w:tcPr>
          <w:p w:rsidR="00880768" w:rsidRDefault="00880768" w:rsidP="00880768">
            <w:r>
              <w:t>194 000 000</w:t>
            </w:r>
          </w:p>
        </w:tc>
      </w:tr>
      <w:tr w:rsidR="00880768" w:rsidTr="001E01CC">
        <w:trPr>
          <w:trHeight w:val="380"/>
        </w:trPr>
        <w:tc>
          <w:tcPr>
            <w:tcW w:w="680" w:type="dxa"/>
          </w:tcPr>
          <w:p w:rsidR="00880768" w:rsidRDefault="00880768" w:rsidP="00880768">
            <w:r>
              <w:t>5490</w:t>
            </w:r>
          </w:p>
        </w:tc>
        <w:tc>
          <w:tcPr>
            <w:tcW w:w="680" w:type="dxa"/>
          </w:tcPr>
          <w:p w:rsidR="00880768" w:rsidRDefault="00880768" w:rsidP="00880768"/>
        </w:tc>
        <w:tc>
          <w:tcPr>
            <w:tcW w:w="3440" w:type="dxa"/>
          </w:tcPr>
          <w:p w:rsidR="00880768" w:rsidRDefault="00880768" w:rsidP="00880768">
            <w:r>
              <w:t>NVE Anlegg</w:t>
            </w:r>
          </w:p>
        </w:tc>
        <w:tc>
          <w:tcPr>
            <w:tcW w:w="1580" w:type="dxa"/>
          </w:tcPr>
          <w:p w:rsidR="00880768" w:rsidRDefault="00880768" w:rsidP="00880768"/>
        </w:tc>
        <w:tc>
          <w:tcPr>
            <w:tcW w:w="1580" w:type="dxa"/>
          </w:tcPr>
          <w:p w:rsidR="00880768" w:rsidRDefault="00880768" w:rsidP="00880768"/>
        </w:tc>
        <w:tc>
          <w:tcPr>
            <w:tcW w:w="158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r>
              <w:t>01</w:t>
            </w:r>
          </w:p>
        </w:tc>
        <w:tc>
          <w:tcPr>
            <w:tcW w:w="3440" w:type="dxa"/>
          </w:tcPr>
          <w:p w:rsidR="00880768" w:rsidRDefault="00880768" w:rsidP="00880768">
            <w:r>
              <w:t>Salg av utstyr mv.</w:t>
            </w:r>
          </w:p>
        </w:tc>
        <w:tc>
          <w:tcPr>
            <w:tcW w:w="1580" w:type="dxa"/>
          </w:tcPr>
          <w:p w:rsidR="00880768" w:rsidRDefault="00880768" w:rsidP="00880768"/>
        </w:tc>
        <w:tc>
          <w:tcPr>
            <w:tcW w:w="1580" w:type="dxa"/>
          </w:tcPr>
          <w:p w:rsidR="00880768" w:rsidRDefault="00880768" w:rsidP="00880768">
            <w:r>
              <w:t>100 000</w:t>
            </w:r>
          </w:p>
        </w:tc>
        <w:tc>
          <w:tcPr>
            <w:tcW w:w="1580" w:type="dxa"/>
          </w:tcPr>
          <w:p w:rsidR="00880768" w:rsidRDefault="00880768" w:rsidP="00880768">
            <w:r>
              <w:t>100 000</w:t>
            </w:r>
          </w:p>
        </w:tc>
      </w:tr>
      <w:tr w:rsidR="00880768" w:rsidTr="001E01CC">
        <w:trPr>
          <w:trHeight w:val="380"/>
        </w:trPr>
        <w:tc>
          <w:tcPr>
            <w:tcW w:w="680" w:type="dxa"/>
          </w:tcPr>
          <w:p w:rsidR="00880768" w:rsidRDefault="00880768" w:rsidP="00880768"/>
        </w:tc>
        <w:tc>
          <w:tcPr>
            <w:tcW w:w="680" w:type="dxa"/>
          </w:tcPr>
          <w:p w:rsidR="00880768" w:rsidRDefault="00880768" w:rsidP="00880768"/>
        </w:tc>
        <w:tc>
          <w:tcPr>
            <w:tcW w:w="3440" w:type="dxa"/>
          </w:tcPr>
          <w:p w:rsidR="00880768" w:rsidRDefault="00880768" w:rsidP="00880768">
            <w:r>
              <w:t>Sum Ordinære inntekter</w:t>
            </w:r>
          </w:p>
        </w:tc>
        <w:tc>
          <w:tcPr>
            <w:tcW w:w="1580" w:type="dxa"/>
          </w:tcPr>
          <w:p w:rsidR="00880768" w:rsidRDefault="00880768" w:rsidP="00880768"/>
        </w:tc>
        <w:tc>
          <w:tcPr>
            <w:tcW w:w="1580" w:type="dxa"/>
          </w:tcPr>
          <w:p w:rsidR="00880768" w:rsidRDefault="00880768" w:rsidP="00880768"/>
        </w:tc>
        <w:tc>
          <w:tcPr>
            <w:tcW w:w="1580" w:type="dxa"/>
          </w:tcPr>
          <w:p w:rsidR="00880768" w:rsidRDefault="00880768" w:rsidP="00880768">
            <w:r>
              <w:t>341 683 000</w:t>
            </w:r>
          </w:p>
        </w:tc>
      </w:tr>
      <w:tr w:rsidR="00880768" w:rsidTr="001E01CC">
        <w:trPr>
          <w:trHeight w:val="380"/>
        </w:trPr>
        <w:tc>
          <w:tcPr>
            <w:tcW w:w="9540" w:type="dxa"/>
            <w:gridSpan w:val="6"/>
          </w:tcPr>
          <w:p w:rsidR="00880768" w:rsidRDefault="00880768" w:rsidP="00880768">
            <w:r>
              <w:t>Inntekter fra statlig petroleumsvirksomhet</w:t>
            </w:r>
          </w:p>
        </w:tc>
      </w:tr>
      <w:tr w:rsidR="00880768" w:rsidTr="001E01CC">
        <w:trPr>
          <w:trHeight w:val="880"/>
        </w:trPr>
        <w:tc>
          <w:tcPr>
            <w:tcW w:w="680" w:type="dxa"/>
          </w:tcPr>
          <w:p w:rsidR="00880768" w:rsidRDefault="00880768" w:rsidP="00880768">
            <w:r>
              <w:t>5440</w:t>
            </w:r>
          </w:p>
        </w:tc>
        <w:tc>
          <w:tcPr>
            <w:tcW w:w="680" w:type="dxa"/>
          </w:tcPr>
          <w:p w:rsidR="00880768" w:rsidRDefault="00880768" w:rsidP="00880768"/>
        </w:tc>
        <w:tc>
          <w:tcPr>
            <w:tcW w:w="3440" w:type="dxa"/>
          </w:tcPr>
          <w:p w:rsidR="00880768" w:rsidRDefault="00880768" w:rsidP="00880768">
            <w:r>
              <w:t xml:space="preserve">Statens direkte økonomiske </w:t>
            </w:r>
            <w:r>
              <w:rPr>
                <w:sz w:val="22"/>
              </w:rPr>
              <w:br/>
            </w:r>
            <w:r>
              <w:t>engasjement i petroleumsvir</w:t>
            </w:r>
            <w:r>
              <w:t>k</w:t>
            </w:r>
            <w:r>
              <w:t>somheten</w:t>
            </w:r>
          </w:p>
        </w:tc>
        <w:tc>
          <w:tcPr>
            <w:tcW w:w="1580" w:type="dxa"/>
          </w:tcPr>
          <w:p w:rsidR="00880768" w:rsidRDefault="00880768" w:rsidP="00880768"/>
        </w:tc>
        <w:tc>
          <w:tcPr>
            <w:tcW w:w="1580" w:type="dxa"/>
          </w:tcPr>
          <w:p w:rsidR="00880768" w:rsidRDefault="00880768" w:rsidP="00880768"/>
        </w:tc>
        <w:tc>
          <w:tcPr>
            <w:tcW w:w="158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r>
              <w:t>24</w:t>
            </w:r>
          </w:p>
        </w:tc>
        <w:tc>
          <w:tcPr>
            <w:tcW w:w="3440" w:type="dxa"/>
          </w:tcPr>
          <w:p w:rsidR="00880768" w:rsidRDefault="00880768" w:rsidP="00880768">
            <w:r>
              <w:t>Driftsresultat</w:t>
            </w:r>
          </w:p>
        </w:tc>
        <w:tc>
          <w:tcPr>
            <w:tcW w:w="1580" w:type="dxa"/>
          </w:tcPr>
          <w:p w:rsidR="00880768" w:rsidRDefault="00880768" w:rsidP="00880768"/>
        </w:tc>
        <w:tc>
          <w:tcPr>
            <w:tcW w:w="1580" w:type="dxa"/>
          </w:tcPr>
          <w:p w:rsidR="00880768" w:rsidRDefault="00880768" w:rsidP="00880768"/>
        </w:tc>
        <w:tc>
          <w:tcPr>
            <w:tcW w:w="158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tc>
        <w:tc>
          <w:tcPr>
            <w:tcW w:w="3440" w:type="dxa"/>
          </w:tcPr>
          <w:p w:rsidR="00880768" w:rsidRDefault="00880768" w:rsidP="00880768">
            <w:r>
              <w:t>1 Driftsinntekter</w:t>
            </w:r>
          </w:p>
        </w:tc>
        <w:tc>
          <w:tcPr>
            <w:tcW w:w="1580" w:type="dxa"/>
          </w:tcPr>
          <w:p w:rsidR="00880768" w:rsidRDefault="00880768" w:rsidP="00880768">
            <w:r>
              <w:t>163 500 000 000</w:t>
            </w:r>
          </w:p>
        </w:tc>
        <w:tc>
          <w:tcPr>
            <w:tcW w:w="1580" w:type="dxa"/>
          </w:tcPr>
          <w:p w:rsidR="00880768" w:rsidRDefault="00880768" w:rsidP="00880768"/>
        </w:tc>
        <w:tc>
          <w:tcPr>
            <w:tcW w:w="158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tc>
        <w:tc>
          <w:tcPr>
            <w:tcW w:w="3440" w:type="dxa"/>
          </w:tcPr>
          <w:p w:rsidR="00880768" w:rsidRDefault="00880768" w:rsidP="00880768">
            <w:r>
              <w:t>2 Driftsutgifter</w:t>
            </w:r>
          </w:p>
        </w:tc>
        <w:tc>
          <w:tcPr>
            <w:tcW w:w="1580" w:type="dxa"/>
          </w:tcPr>
          <w:p w:rsidR="00880768" w:rsidRDefault="00880768" w:rsidP="00880768">
            <w:r>
              <w:t>-28 500 000 000</w:t>
            </w:r>
          </w:p>
        </w:tc>
        <w:tc>
          <w:tcPr>
            <w:tcW w:w="1580" w:type="dxa"/>
          </w:tcPr>
          <w:p w:rsidR="00880768" w:rsidRDefault="00880768" w:rsidP="00880768"/>
        </w:tc>
        <w:tc>
          <w:tcPr>
            <w:tcW w:w="158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tc>
        <w:tc>
          <w:tcPr>
            <w:tcW w:w="3440" w:type="dxa"/>
          </w:tcPr>
          <w:p w:rsidR="00880768" w:rsidRDefault="00880768" w:rsidP="00880768">
            <w:r>
              <w:t>3 Lete- og feltutviklingsutgifter</w:t>
            </w:r>
          </w:p>
        </w:tc>
        <w:tc>
          <w:tcPr>
            <w:tcW w:w="1580" w:type="dxa"/>
          </w:tcPr>
          <w:p w:rsidR="00880768" w:rsidRDefault="00880768" w:rsidP="00880768">
            <w:r>
              <w:t>-2 100 000 000</w:t>
            </w:r>
          </w:p>
        </w:tc>
        <w:tc>
          <w:tcPr>
            <w:tcW w:w="1580" w:type="dxa"/>
          </w:tcPr>
          <w:p w:rsidR="00880768" w:rsidRDefault="00880768" w:rsidP="00880768"/>
        </w:tc>
        <w:tc>
          <w:tcPr>
            <w:tcW w:w="158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tc>
        <w:tc>
          <w:tcPr>
            <w:tcW w:w="3440" w:type="dxa"/>
          </w:tcPr>
          <w:p w:rsidR="00880768" w:rsidRDefault="00880768" w:rsidP="00880768">
            <w:r>
              <w:t>4 Avskrivninger</w:t>
            </w:r>
          </w:p>
        </w:tc>
        <w:tc>
          <w:tcPr>
            <w:tcW w:w="1580" w:type="dxa"/>
          </w:tcPr>
          <w:p w:rsidR="00880768" w:rsidRDefault="00880768" w:rsidP="00880768">
            <w:r>
              <w:t>-22 100 000 000</w:t>
            </w:r>
          </w:p>
        </w:tc>
        <w:tc>
          <w:tcPr>
            <w:tcW w:w="1580" w:type="dxa"/>
          </w:tcPr>
          <w:p w:rsidR="00880768" w:rsidRDefault="00880768" w:rsidP="00880768"/>
        </w:tc>
        <w:tc>
          <w:tcPr>
            <w:tcW w:w="158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tc>
        <w:tc>
          <w:tcPr>
            <w:tcW w:w="3440" w:type="dxa"/>
          </w:tcPr>
          <w:p w:rsidR="00880768" w:rsidRDefault="00880768" w:rsidP="00880768">
            <w:r>
              <w:t>5 Renter av statens kapital</w:t>
            </w:r>
          </w:p>
        </w:tc>
        <w:tc>
          <w:tcPr>
            <w:tcW w:w="1580" w:type="dxa"/>
          </w:tcPr>
          <w:p w:rsidR="00880768" w:rsidRDefault="00880768" w:rsidP="00880768">
            <w:r>
              <w:t>-2 900 000 000</w:t>
            </w:r>
          </w:p>
        </w:tc>
        <w:tc>
          <w:tcPr>
            <w:tcW w:w="1580" w:type="dxa"/>
          </w:tcPr>
          <w:p w:rsidR="00880768" w:rsidRDefault="00880768" w:rsidP="00880768">
            <w:r>
              <w:t>107 900 000 000</w:t>
            </w:r>
          </w:p>
        </w:tc>
        <w:tc>
          <w:tcPr>
            <w:tcW w:w="158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r>
              <w:t>30</w:t>
            </w:r>
          </w:p>
        </w:tc>
        <w:tc>
          <w:tcPr>
            <w:tcW w:w="3440" w:type="dxa"/>
          </w:tcPr>
          <w:p w:rsidR="00880768" w:rsidRDefault="00880768" w:rsidP="00880768">
            <w:r>
              <w:t>Avskrivninger</w:t>
            </w:r>
          </w:p>
        </w:tc>
        <w:tc>
          <w:tcPr>
            <w:tcW w:w="1580" w:type="dxa"/>
          </w:tcPr>
          <w:p w:rsidR="00880768" w:rsidRDefault="00880768" w:rsidP="00880768"/>
        </w:tc>
        <w:tc>
          <w:tcPr>
            <w:tcW w:w="1580" w:type="dxa"/>
          </w:tcPr>
          <w:p w:rsidR="00880768" w:rsidRDefault="00880768" w:rsidP="00880768">
            <w:r>
              <w:t>22 100 000 000</w:t>
            </w:r>
          </w:p>
        </w:tc>
        <w:tc>
          <w:tcPr>
            <w:tcW w:w="158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r>
              <w:t>80</w:t>
            </w:r>
          </w:p>
        </w:tc>
        <w:tc>
          <w:tcPr>
            <w:tcW w:w="3440" w:type="dxa"/>
          </w:tcPr>
          <w:p w:rsidR="00880768" w:rsidRDefault="00880768" w:rsidP="00880768">
            <w:r>
              <w:t>Renter av statens kapital</w:t>
            </w:r>
          </w:p>
        </w:tc>
        <w:tc>
          <w:tcPr>
            <w:tcW w:w="1580" w:type="dxa"/>
          </w:tcPr>
          <w:p w:rsidR="00880768" w:rsidRDefault="00880768" w:rsidP="00880768"/>
        </w:tc>
        <w:tc>
          <w:tcPr>
            <w:tcW w:w="1580" w:type="dxa"/>
          </w:tcPr>
          <w:p w:rsidR="00880768" w:rsidRDefault="00880768" w:rsidP="00880768">
            <w:r>
              <w:t>2 900 000 000</w:t>
            </w:r>
          </w:p>
        </w:tc>
        <w:tc>
          <w:tcPr>
            <w:tcW w:w="1580" w:type="dxa"/>
          </w:tcPr>
          <w:p w:rsidR="00880768" w:rsidRDefault="00880768" w:rsidP="00880768">
            <w:r>
              <w:t>132 900 000 000</w:t>
            </w:r>
          </w:p>
        </w:tc>
      </w:tr>
      <w:tr w:rsidR="00880768" w:rsidTr="001E01CC">
        <w:trPr>
          <w:trHeight w:val="640"/>
        </w:trPr>
        <w:tc>
          <w:tcPr>
            <w:tcW w:w="680" w:type="dxa"/>
          </w:tcPr>
          <w:p w:rsidR="00880768" w:rsidRDefault="00880768" w:rsidP="00880768"/>
        </w:tc>
        <w:tc>
          <w:tcPr>
            <w:tcW w:w="680" w:type="dxa"/>
          </w:tcPr>
          <w:p w:rsidR="00880768" w:rsidRDefault="00880768" w:rsidP="00880768"/>
        </w:tc>
        <w:tc>
          <w:tcPr>
            <w:tcW w:w="3440" w:type="dxa"/>
          </w:tcPr>
          <w:p w:rsidR="00880768" w:rsidRDefault="00880768" w:rsidP="00880768">
            <w:r>
              <w:t>Sum Inntekter fra statlig petr</w:t>
            </w:r>
            <w:r>
              <w:t>o</w:t>
            </w:r>
            <w:r>
              <w:t>leumsvirksomhet</w:t>
            </w:r>
          </w:p>
        </w:tc>
        <w:tc>
          <w:tcPr>
            <w:tcW w:w="1580" w:type="dxa"/>
          </w:tcPr>
          <w:p w:rsidR="00880768" w:rsidRDefault="00880768" w:rsidP="00880768"/>
        </w:tc>
        <w:tc>
          <w:tcPr>
            <w:tcW w:w="1580" w:type="dxa"/>
          </w:tcPr>
          <w:p w:rsidR="00880768" w:rsidRDefault="00880768" w:rsidP="00880768"/>
        </w:tc>
        <w:tc>
          <w:tcPr>
            <w:tcW w:w="1580" w:type="dxa"/>
          </w:tcPr>
          <w:p w:rsidR="00880768" w:rsidRDefault="00880768" w:rsidP="00880768">
            <w:r>
              <w:t>132 900 000 000</w:t>
            </w:r>
          </w:p>
        </w:tc>
      </w:tr>
      <w:tr w:rsidR="00880768" w:rsidTr="001E01CC">
        <w:trPr>
          <w:trHeight w:val="380"/>
        </w:trPr>
        <w:tc>
          <w:tcPr>
            <w:tcW w:w="9540" w:type="dxa"/>
            <w:gridSpan w:val="6"/>
          </w:tcPr>
          <w:p w:rsidR="00880768" w:rsidRDefault="00880768" w:rsidP="00880768">
            <w:r>
              <w:t>Skatter og avgifter</w:t>
            </w:r>
          </w:p>
        </w:tc>
      </w:tr>
      <w:tr w:rsidR="00880768" w:rsidTr="001E01CC">
        <w:trPr>
          <w:trHeight w:val="640"/>
        </w:trPr>
        <w:tc>
          <w:tcPr>
            <w:tcW w:w="680" w:type="dxa"/>
          </w:tcPr>
          <w:p w:rsidR="00880768" w:rsidRDefault="00880768" w:rsidP="00880768">
            <w:r>
              <w:t>5582</w:t>
            </w:r>
          </w:p>
        </w:tc>
        <w:tc>
          <w:tcPr>
            <w:tcW w:w="680" w:type="dxa"/>
          </w:tcPr>
          <w:p w:rsidR="00880768" w:rsidRDefault="00880768" w:rsidP="00880768"/>
        </w:tc>
        <w:tc>
          <w:tcPr>
            <w:tcW w:w="3440" w:type="dxa"/>
          </w:tcPr>
          <w:p w:rsidR="00880768" w:rsidRDefault="00880768" w:rsidP="00880768">
            <w:r>
              <w:t>Sektoravgifter under Olje- og energidepartementet</w:t>
            </w:r>
          </w:p>
        </w:tc>
        <w:tc>
          <w:tcPr>
            <w:tcW w:w="1580" w:type="dxa"/>
          </w:tcPr>
          <w:p w:rsidR="00880768" w:rsidRDefault="00880768" w:rsidP="00880768"/>
        </w:tc>
        <w:tc>
          <w:tcPr>
            <w:tcW w:w="1580" w:type="dxa"/>
          </w:tcPr>
          <w:p w:rsidR="00880768" w:rsidRDefault="00880768" w:rsidP="00880768"/>
        </w:tc>
        <w:tc>
          <w:tcPr>
            <w:tcW w:w="1580" w:type="dxa"/>
          </w:tcPr>
          <w:p w:rsidR="00880768" w:rsidRDefault="00880768" w:rsidP="00880768"/>
        </w:tc>
      </w:tr>
      <w:tr w:rsidR="00880768" w:rsidTr="001E01CC">
        <w:trPr>
          <w:trHeight w:val="640"/>
        </w:trPr>
        <w:tc>
          <w:tcPr>
            <w:tcW w:w="680" w:type="dxa"/>
          </w:tcPr>
          <w:p w:rsidR="00880768" w:rsidRDefault="00880768" w:rsidP="00880768"/>
        </w:tc>
        <w:tc>
          <w:tcPr>
            <w:tcW w:w="680" w:type="dxa"/>
          </w:tcPr>
          <w:p w:rsidR="00880768" w:rsidRDefault="00880768" w:rsidP="00880768">
            <w:r>
              <w:t>71</w:t>
            </w:r>
          </w:p>
        </w:tc>
        <w:tc>
          <w:tcPr>
            <w:tcW w:w="3440" w:type="dxa"/>
          </w:tcPr>
          <w:p w:rsidR="00880768" w:rsidRDefault="00880768" w:rsidP="00880768">
            <w:r>
              <w:t>Konsesjonsavgifter fra van</w:t>
            </w:r>
            <w:r>
              <w:t>n</w:t>
            </w:r>
            <w:r>
              <w:t>kraftutbygging</w:t>
            </w:r>
          </w:p>
        </w:tc>
        <w:tc>
          <w:tcPr>
            <w:tcW w:w="1580" w:type="dxa"/>
          </w:tcPr>
          <w:p w:rsidR="00880768" w:rsidRDefault="00880768" w:rsidP="00880768"/>
        </w:tc>
        <w:tc>
          <w:tcPr>
            <w:tcW w:w="1580" w:type="dxa"/>
          </w:tcPr>
          <w:p w:rsidR="00880768" w:rsidRDefault="00880768" w:rsidP="00880768">
            <w:r>
              <w:t>166 000 000</w:t>
            </w:r>
          </w:p>
        </w:tc>
        <w:tc>
          <w:tcPr>
            <w:tcW w:w="1580" w:type="dxa"/>
          </w:tcPr>
          <w:p w:rsidR="00880768" w:rsidRDefault="00880768" w:rsidP="00880768">
            <w:r>
              <w:t>166 000 000</w:t>
            </w:r>
          </w:p>
        </w:tc>
      </w:tr>
      <w:tr w:rsidR="00880768" w:rsidTr="001E01CC">
        <w:trPr>
          <w:trHeight w:val="380"/>
        </w:trPr>
        <w:tc>
          <w:tcPr>
            <w:tcW w:w="680" w:type="dxa"/>
          </w:tcPr>
          <w:p w:rsidR="00880768" w:rsidRDefault="00880768" w:rsidP="00880768"/>
        </w:tc>
        <w:tc>
          <w:tcPr>
            <w:tcW w:w="680" w:type="dxa"/>
          </w:tcPr>
          <w:p w:rsidR="00880768" w:rsidRDefault="00880768" w:rsidP="00880768"/>
        </w:tc>
        <w:tc>
          <w:tcPr>
            <w:tcW w:w="3440" w:type="dxa"/>
          </w:tcPr>
          <w:p w:rsidR="00880768" w:rsidRDefault="00880768" w:rsidP="00880768">
            <w:r>
              <w:t>Sum Skatter og avgifter</w:t>
            </w:r>
          </w:p>
        </w:tc>
        <w:tc>
          <w:tcPr>
            <w:tcW w:w="1580" w:type="dxa"/>
          </w:tcPr>
          <w:p w:rsidR="00880768" w:rsidRDefault="00880768" w:rsidP="00880768"/>
        </w:tc>
        <w:tc>
          <w:tcPr>
            <w:tcW w:w="1580" w:type="dxa"/>
          </w:tcPr>
          <w:p w:rsidR="00880768" w:rsidRDefault="00880768" w:rsidP="00880768"/>
        </w:tc>
        <w:tc>
          <w:tcPr>
            <w:tcW w:w="1580" w:type="dxa"/>
          </w:tcPr>
          <w:p w:rsidR="00880768" w:rsidRDefault="00880768" w:rsidP="00880768">
            <w:r>
              <w:t>166 000 000</w:t>
            </w:r>
          </w:p>
        </w:tc>
      </w:tr>
      <w:tr w:rsidR="00880768" w:rsidTr="001E01CC">
        <w:trPr>
          <w:trHeight w:val="380"/>
        </w:trPr>
        <w:tc>
          <w:tcPr>
            <w:tcW w:w="9540" w:type="dxa"/>
            <w:gridSpan w:val="6"/>
          </w:tcPr>
          <w:p w:rsidR="00880768" w:rsidRDefault="00880768" w:rsidP="00880768">
            <w:r>
              <w:t>Renter og utbytte mv.</w:t>
            </w:r>
          </w:p>
        </w:tc>
      </w:tr>
      <w:tr w:rsidR="00880768" w:rsidTr="001E01CC">
        <w:trPr>
          <w:trHeight w:val="380"/>
        </w:trPr>
        <w:tc>
          <w:tcPr>
            <w:tcW w:w="680" w:type="dxa"/>
          </w:tcPr>
          <w:p w:rsidR="00880768" w:rsidRDefault="00880768" w:rsidP="00880768">
            <w:r>
              <w:t>5680</w:t>
            </w:r>
          </w:p>
        </w:tc>
        <w:tc>
          <w:tcPr>
            <w:tcW w:w="680" w:type="dxa"/>
          </w:tcPr>
          <w:p w:rsidR="00880768" w:rsidRDefault="00880768" w:rsidP="00880768"/>
        </w:tc>
        <w:tc>
          <w:tcPr>
            <w:tcW w:w="3440" w:type="dxa"/>
          </w:tcPr>
          <w:p w:rsidR="00880768" w:rsidRDefault="00880768" w:rsidP="00880768">
            <w:r>
              <w:t>Statnett SF</w:t>
            </w:r>
          </w:p>
        </w:tc>
        <w:tc>
          <w:tcPr>
            <w:tcW w:w="1580" w:type="dxa"/>
          </w:tcPr>
          <w:p w:rsidR="00880768" w:rsidRDefault="00880768" w:rsidP="00880768"/>
        </w:tc>
        <w:tc>
          <w:tcPr>
            <w:tcW w:w="1580" w:type="dxa"/>
          </w:tcPr>
          <w:p w:rsidR="00880768" w:rsidRDefault="00880768" w:rsidP="00880768"/>
        </w:tc>
        <w:tc>
          <w:tcPr>
            <w:tcW w:w="158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r>
              <w:t>85</w:t>
            </w:r>
          </w:p>
        </w:tc>
        <w:tc>
          <w:tcPr>
            <w:tcW w:w="3440" w:type="dxa"/>
          </w:tcPr>
          <w:p w:rsidR="00880768" w:rsidRDefault="00880768" w:rsidP="00880768">
            <w:r>
              <w:t>Utbytte</w:t>
            </w:r>
          </w:p>
        </w:tc>
        <w:tc>
          <w:tcPr>
            <w:tcW w:w="1580" w:type="dxa"/>
          </w:tcPr>
          <w:p w:rsidR="00880768" w:rsidRDefault="00880768" w:rsidP="00880768"/>
        </w:tc>
        <w:tc>
          <w:tcPr>
            <w:tcW w:w="1580" w:type="dxa"/>
          </w:tcPr>
          <w:p w:rsidR="00880768" w:rsidRDefault="00880768" w:rsidP="00880768">
            <w:r>
              <w:t>443 000 000</w:t>
            </w:r>
          </w:p>
        </w:tc>
        <w:tc>
          <w:tcPr>
            <w:tcW w:w="1580" w:type="dxa"/>
          </w:tcPr>
          <w:p w:rsidR="00880768" w:rsidRDefault="00880768" w:rsidP="00880768">
            <w:r>
              <w:t>443 000 000</w:t>
            </w:r>
          </w:p>
        </w:tc>
      </w:tr>
      <w:tr w:rsidR="00880768" w:rsidTr="001E01CC">
        <w:trPr>
          <w:trHeight w:val="380"/>
        </w:trPr>
        <w:tc>
          <w:tcPr>
            <w:tcW w:w="680" w:type="dxa"/>
          </w:tcPr>
          <w:p w:rsidR="00880768" w:rsidRDefault="00880768" w:rsidP="00880768">
            <w:r>
              <w:t>5685</w:t>
            </w:r>
          </w:p>
        </w:tc>
        <w:tc>
          <w:tcPr>
            <w:tcW w:w="680" w:type="dxa"/>
          </w:tcPr>
          <w:p w:rsidR="00880768" w:rsidRDefault="00880768" w:rsidP="00880768"/>
        </w:tc>
        <w:tc>
          <w:tcPr>
            <w:tcW w:w="3440" w:type="dxa"/>
          </w:tcPr>
          <w:p w:rsidR="00880768" w:rsidRDefault="00880768" w:rsidP="00880768">
            <w:r>
              <w:t>Aksjer i Equinor ASA</w:t>
            </w:r>
          </w:p>
        </w:tc>
        <w:tc>
          <w:tcPr>
            <w:tcW w:w="1580" w:type="dxa"/>
          </w:tcPr>
          <w:p w:rsidR="00880768" w:rsidRDefault="00880768" w:rsidP="00880768"/>
        </w:tc>
        <w:tc>
          <w:tcPr>
            <w:tcW w:w="1580" w:type="dxa"/>
          </w:tcPr>
          <w:p w:rsidR="00880768" w:rsidRDefault="00880768" w:rsidP="00880768"/>
        </w:tc>
        <w:tc>
          <w:tcPr>
            <w:tcW w:w="1580" w:type="dxa"/>
          </w:tcPr>
          <w:p w:rsidR="00880768" w:rsidRDefault="00880768" w:rsidP="00880768"/>
        </w:tc>
      </w:tr>
      <w:tr w:rsidR="00880768" w:rsidTr="001E01CC">
        <w:trPr>
          <w:trHeight w:val="380"/>
        </w:trPr>
        <w:tc>
          <w:tcPr>
            <w:tcW w:w="680" w:type="dxa"/>
          </w:tcPr>
          <w:p w:rsidR="00880768" w:rsidRDefault="00880768" w:rsidP="00880768"/>
        </w:tc>
        <w:tc>
          <w:tcPr>
            <w:tcW w:w="680" w:type="dxa"/>
          </w:tcPr>
          <w:p w:rsidR="00880768" w:rsidRDefault="00880768" w:rsidP="00880768">
            <w:r>
              <w:t>85</w:t>
            </w:r>
          </w:p>
        </w:tc>
        <w:tc>
          <w:tcPr>
            <w:tcW w:w="3440" w:type="dxa"/>
          </w:tcPr>
          <w:p w:rsidR="00880768" w:rsidRDefault="00880768" w:rsidP="00880768">
            <w:r>
              <w:t>Utbytte</w:t>
            </w:r>
          </w:p>
        </w:tc>
        <w:tc>
          <w:tcPr>
            <w:tcW w:w="1580" w:type="dxa"/>
          </w:tcPr>
          <w:p w:rsidR="00880768" w:rsidRDefault="00880768" w:rsidP="00880768"/>
        </w:tc>
        <w:tc>
          <w:tcPr>
            <w:tcW w:w="1580" w:type="dxa"/>
          </w:tcPr>
          <w:p w:rsidR="00880768" w:rsidRDefault="00880768" w:rsidP="00880768">
            <w:r>
              <w:t>16 620 000 000</w:t>
            </w:r>
          </w:p>
        </w:tc>
        <w:tc>
          <w:tcPr>
            <w:tcW w:w="1580" w:type="dxa"/>
          </w:tcPr>
          <w:p w:rsidR="00880768" w:rsidRDefault="00880768" w:rsidP="00880768">
            <w:r>
              <w:t>16 620 000 000</w:t>
            </w:r>
          </w:p>
        </w:tc>
      </w:tr>
      <w:tr w:rsidR="00880768" w:rsidTr="001E01CC">
        <w:trPr>
          <w:trHeight w:val="380"/>
        </w:trPr>
        <w:tc>
          <w:tcPr>
            <w:tcW w:w="680" w:type="dxa"/>
          </w:tcPr>
          <w:p w:rsidR="00880768" w:rsidRDefault="00880768" w:rsidP="00880768"/>
        </w:tc>
        <w:tc>
          <w:tcPr>
            <w:tcW w:w="680" w:type="dxa"/>
          </w:tcPr>
          <w:p w:rsidR="00880768" w:rsidRDefault="00880768" w:rsidP="00880768"/>
        </w:tc>
        <w:tc>
          <w:tcPr>
            <w:tcW w:w="3440" w:type="dxa"/>
          </w:tcPr>
          <w:p w:rsidR="00880768" w:rsidRDefault="00880768" w:rsidP="00880768">
            <w:r>
              <w:t>Sum Renter og utbytte mv.</w:t>
            </w:r>
          </w:p>
        </w:tc>
        <w:tc>
          <w:tcPr>
            <w:tcW w:w="1580" w:type="dxa"/>
          </w:tcPr>
          <w:p w:rsidR="00880768" w:rsidRDefault="00880768" w:rsidP="00880768"/>
        </w:tc>
        <w:tc>
          <w:tcPr>
            <w:tcW w:w="1580" w:type="dxa"/>
          </w:tcPr>
          <w:p w:rsidR="00880768" w:rsidRDefault="00880768" w:rsidP="00880768"/>
        </w:tc>
        <w:tc>
          <w:tcPr>
            <w:tcW w:w="1580" w:type="dxa"/>
          </w:tcPr>
          <w:p w:rsidR="00880768" w:rsidRDefault="00880768" w:rsidP="00880768">
            <w:r>
              <w:t>17 063 000 000</w:t>
            </w:r>
          </w:p>
        </w:tc>
      </w:tr>
      <w:tr w:rsidR="00880768" w:rsidTr="001E01CC">
        <w:trPr>
          <w:trHeight w:val="380"/>
        </w:trPr>
        <w:tc>
          <w:tcPr>
            <w:tcW w:w="680" w:type="dxa"/>
          </w:tcPr>
          <w:p w:rsidR="00880768" w:rsidRDefault="00880768" w:rsidP="00880768"/>
        </w:tc>
        <w:tc>
          <w:tcPr>
            <w:tcW w:w="680" w:type="dxa"/>
          </w:tcPr>
          <w:p w:rsidR="00880768" w:rsidRDefault="00880768" w:rsidP="00880768"/>
        </w:tc>
        <w:tc>
          <w:tcPr>
            <w:tcW w:w="3440" w:type="dxa"/>
          </w:tcPr>
          <w:p w:rsidR="00880768" w:rsidRDefault="00880768" w:rsidP="00880768">
            <w:r>
              <w:t>Sum departementets inntekter</w:t>
            </w:r>
          </w:p>
        </w:tc>
        <w:tc>
          <w:tcPr>
            <w:tcW w:w="1580" w:type="dxa"/>
          </w:tcPr>
          <w:p w:rsidR="00880768" w:rsidRDefault="00880768" w:rsidP="00880768"/>
        </w:tc>
        <w:tc>
          <w:tcPr>
            <w:tcW w:w="1580" w:type="dxa"/>
          </w:tcPr>
          <w:p w:rsidR="00880768" w:rsidRDefault="00880768" w:rsidP="00880768"/>
        </w:tc>
        <w:tc>
          <w:tcPr>
            <w:tcW w:w="1580" w:type="dxa"/>
          </w:tcPr>
          <w:p w:rsidR="00880768" w:rsidRDefault="00880768" w:rsidP="00880768">
            <w:r>
              <w:t>150 470 683 000</w:t>
            </w:r>
          </w:p>
        </w:tc>
      </w:tr>
    </w:tbl>
    <w:p w:rsidR="00880768" w:rsidRDefault="00880768" w:rsidP="00880768">
      <w:pPr>
        <w:pStyle w:val="Fullmakttit"/>
      </w:pPr>
      <w:r>
        <w:t>Fullmakter til å overskride gitte bevilgninger</w:t>
      </w:r>
    </w:p>
    <w:p w:rsidR="00880768" w:rsidRDefault="00880768" w:rsidP="00880768">
      <w:pPr>
        <w:pStyle w:val="a-vedtak-del"/>
      </w:pPr>
      <w:r>
        <w:t>II</w:t>
      </w:r>
    </w:p>
    <w:p w:rsidR="00880768" w:rsidRDefault="00880768" w:rsidP="00880768">
      <w:pPr>
        <w:pStyle w:val="a-vedtak-tekst"/>
      </w:pPr>
      <w:r>
        <w:t>Merinntektsfullmakter</w:t>
      </w:r>
    </w:p>
    <w:p w:rsidR="00880768" w:rsidRDefault="00880768" w:rsidP="00880768">
      <w:r>
        <w:t>Stortinget samtykker i at Olje- og energidepartementet i 2019 kan:</w:t>
      </w:r>
    </w:p>
    <w:p w:rsidR="00880768" w:rsidRDefault="00880768" w:rsidP="00880768">
      <w:pPr>
        <w:pStyle w:val="Tabellnavn"/>
      </w:pPr>
      <w:r>
        <w:t>02N1xt2</w:t>
      </w:r>
    </w:p>
    <w:tbl>
      <w:tblPr>
        <w:tblStyle w:val="StandardTabell"/>
        <w:tblW w:w="9200" w:type="dxa"/>
        <w:tblLayout w:type="fixed"/>
        <w:tblLook w:val="04A0" w:firstRow="1" w:lastRow="0" w:firstColumn="1" w:lastColumn="0" w:noHBand="0" w:noVBand="1"/>
      </w:tblPr>
      <w:tblGrid>
        <w:gridCol w:w="7360"/>
        <w:gridCol w:w="1840"/>
      </w:tblGrid>
      <w:tr w:rsidR="00880768" w:rsidTr="001E01CC">
        <w:trPr>
          <w:trHeight w:val="360"/>
        </w:trPr>
        <w:tc>
          <w:tcPr>
            <w:tcW w:w="7360" w:type="dxa"/>
            <w:shd w:val="clear" w:color="auto" w:fill="FFFFFF"/>
          </w:tcPr>
          <w:p w:rsidR="00880768" w:rsidRDefault="00880768" w:rsidP="001E01CC">
            <w:r>
              <w:t>overskride bevilgningen under</w:t>
            </w:r>
          </w:p>
        </w:tc>
        <w:tc>
          <w:tcPr>
            <w:tcW w:w="1840" w:type="dxa"/>
          </w:tcPr>
          <w:p w:rsidR="00880768" w:rsidRDefault="00880768" w:rsidP="001E01CC">
            <w:pPr>
              <w:jc w:val="right"/>
            </w:pPr>
            <w:r>
              <w:t>mot tilsvarende merinntekter under</w:t>
            </w:r>
          </w:p>
        </w:tc>
      </w:tr>
      <w:tr w:rsidR="00880768" w:rsidTr="001E01CC">
        <w:trPr>
          <w:trHeight w:val="380"/>
        </w:trPr>
        <w:tc>
          <w:tcPr>
            <w:tcW w:w="7360" w:type="dxa"/>
          </w:tcPr>
          <w:p w:rsidR="00880768" w:rsidRDefault="00880768" w:rsidP="001E01CC">
            <w:r>
              <w:t>kap. 1810 post 23</w:t>
            </w:r>
          </w:p>
        </w:tc>
        <w:tc>
          <w:tcPr>
            <w:tcW w:w="1840" w:type="dxa"/>
          </w:tcPr>
          <w:p w:rsidR="00880768" w:rsidRDefault="00880768" w:rsidP="001E01CC">
            <w:pPr>
              <w:jc w:val="right"/>
            </w:pPr>
            <w:r>
              <w:t>kap. 4810 post 02</w:t>
            </w:r>
          </w:p>
        </w:tc>
      </w:tr>
      <w:tr w:rsidR="00880768" w:rsidTr="001E01CC">
        <w:trPr>
          <w:trHeight w:val="380"/>
        </w:trPr>
        <w:tc>
          <w:tcPr>
            <w:tcW w:w="7360" w:type="dxa"/>
          </w:tcPr>
          <w:p w:rsidR="00880768" w:rsidRDefault="00880768" w:rsidP="001E01CC">
            <w:r>
              <w:t xml:space="preserve">kap. 1820 post 23 </w:t>
            </w:r>
          </w:p>
        </w:tc>
        <w:tc>
          <w:tcPr>
            <w:tcW w:w="1840" w:type="dxa"/>
          </w:tcPr>
          <w:p w:rsidR="00880768" w:rsidRDefault="00880768" w:rsidP="001E01CC">
            <w:pPr>
              <w:jc w:val="right"/>
            </w:pPr>
            <w:r>
              <w:t>kap. 4820 post 02</w:t>
            </w:r>
          </w:p>
        </w:tc>
      </w:tr>
    </w:tbl>
    <w:p w:rsidR="00880768" w:rsidRDefault="00880768" w:rsidP="00B52901">
      <w:r>
        <w:t>Merinntekt som gir grunnlag for overskridelse skal også dekke merverdiavgift knyttet til overskr</w:t>
      </w:r>
      <w:r>
        <w:t>i</w:t>
      </w:r>
      <w:r>
        <w:t>delsen, og berører derfor også kap. 1633, post 01 for de statlige forvaltningsorganene som inngår i nettoordningen for merverdiavgift. Merinntekter og eventuelle mindreinntekter tas med i bere</w:t>
      </w:r>
      <w:r>
        <w:t>g</w:t>
      </w:r>
      <w:r>
        <w:t>ningen av overføring av ubrukt bevilgning til neste år.</w:t>
      </w:r>
    </w:p>
    <w:p w:rsidR="00880768" w:rsidRDefault="00880768" w:rsidP="00880768">
      <w:pPr>
        <w:pStyle w:val="a-vedtak-del"/>
      </w:pPr>
      <w:r>
        <w:t>III</w:t>
      </w:r>
    </w:p>
    <w:p w:rsidR="00880768" w:rsidRDefault="00880768" w:rsidP="00880768">
      <w:pPr>
        <w:pStyle w:val="a-vedtak-tekst"/>
      </w:pPr>
      <w:r>
        <w:t>Fullmakt til å overskride</w:t>
      </w:r>
    </w:p>
    <w:p w:rsidR="00880768" w:rsidRDefault="00880768" w:rsidP="00880768">
      <w:r>
        <w:t>Stortinget samtykker i at Kongen i 2019 kan overskride bevilgningen under:</w:t>
      </w:r>
    </w:p>
    <w:p w:rsidR="00880768" w:rsidRDefault="00880768" w:rsidP="0063539A">
      <w:pPr>
        <w:pStyle w:val="Nummerertliste"/>
        <w:numPr>
          <w:ilvl w:val="0"/>
          <w:numId w:val="30"/>
        </w:numPr>
      </w:pPr>
      <w:r>
        <w:t>kap. 1800 Olje- og energidepartementet, post 21 Spesielle driftsutgifter, til dekning av me</w:t>
      </w:r>
      <w:r>
        <w:t>g</w:t>
      </w:r>
      <w:r>
        <w:t>lerhonorar og utgifter til faglig bistand ved statlig kjøp/salg av aksjeposter, samt andre en</w:t>
      </w:r>
      <w:r>
        <w:t>d</w:t>
      </w:r>
      <w:r>
        <w:t>ringer som kan få betydning for eierstrukturen i Equinor ASA.</w:t>
      </w:r>
    </w:p>
    <w:p w:rsidR="00880768" w:rsidRDefault="00880768" w:rsidP="00880768">
      <w:pPr>
        <w:pStyle w:val="Nummerertliste"/>
      </w:pPr>
      <w:r>
        <w:lastRenderedPageBreak/>
        <w:t>kap. 2440/5440 Statens direkte økonomiske engasjement i petroleumsvirksomheten med inntil 5 mrd. kroner ved utøvelse av statens forkjøpsrett ved overdragelser av andeler i utvinningsti</w:t>
      </w:r>
      <w:r>
        <w:t>l</w:t>
      </w:r>
      <w:r>
        <w:t>latelser på norsk kontinentalsokkel.</w:t>
      </w:r>
    </w:p>
    <w:p w:rsidR="00880768" w:rsidRDefault="00880768" w:rsidP="00880768">
      <w:pPr>
        <w:pStyle w:val="a-vedtak-del"/>
      </w:pPr>
      <w:r>
        <w:t>IV</w:t>
      </w:r>
    </w:p>
    <w:p w:rsidR="00880768" w:rsidRDefault="00880768" w:rsidP="00880768">
      <w:pPr>
        <w:pStyle w:val="a-vedtak-tekst"/>
      </w:pPr>
      <w:r>
        <w:t>Fullmakt til å utgiftsføre uten bevilgning</w:t>
      </w:r>
    </w:p>
    <w:p w:rsidR="00880768" w:rsidRDefault="00880768" w:rsidP="00880768">
      <w:r>
        <w:t>Stortinget samtykker i at Olje- og energidepartementet i 2019 kan utgiftsføre uten bevilgning u</w:t>
      </w:r>
      <w:r>
        <w:t>n</w:t>
      </w:r>
      <w:r>
        <w:t>der:</w:t>
      </w:r>
    </w:p>
    <w:p w:rsidR="00880768" w:rsidRDefault="00880768" w:rsidP="0063539A">
      <w:pPr>
        <w:pStyle w:val="Nummerertliste"/>
        <w:numPr>
          <w:ilvl w:val="0"/>
          <w:numId w:val="31"/>
        </w:numPr>
      </w:pPr>
      <w:r>
        <w:t>kap. 1815 Petoro AS, post 79 Erstatninger, erstatning til Norges Bank som omfatter netto re</w:t>
      </w:r>
      <w:r>
        <w:t>n</w:t>
      </w:r>
      <w:r>
        <w:t>tetap og andre dokumenterte kostnader grunnet avvik i varslet og faktisk innbetaling av valuta fra SDØE til Norges Bank, jf. avtale om overføring og kjøp av valuta fra SDØE til Norges Bank.</w:t>
      </w:r>
    </w:p>
    <w:p w:rsidR="00880768" w:rsidRDefault="00880768" w:rsidP="00880768">
      <w:pPr>
        <w:pStyle w:val="Nummerertliste"/>
      </w:pPr>
      <w:r>
        <w:t>kap. 2440 Statens direkte økonomiske engasjement i petroleumsvirksomheten, post 90 Lån til Norpipe Oil AS, inntil 25 mill. kroner til utlån til Norpipe Oil AS.</w:t>
      </w:r>
    </w:p>
    <w:p w:rsidR="00880768" w:rsidRDefault="00880768" w:rsidP="00880768">
      <w:pPr>
        <w:pStyle w:val="Fullmakttit"/>
      </w:pPr>
      <w:r>
        <w:t>Fullmakter til å pådra staten forpliktelser utover gitte bevilgninger</w:t>
      </w:r>
    </w:p>
    <w:p w:rsidR="00880768" w:rsidRDefault="00880768" w:rsidP="00880768">
      <w:pPr>
        <w:pStyle w:val="a-vedtak-del"/>
      </w:pPr>
      <w:r>
        <w:t>V</w:t>
      </w:r>
    </w:p>
    <w:p w:rsidR="00880768" w:rsidRDefault="00880768" w:rsidP="00880768">
      <w:pPr>
        <w:pStyle w:val="a-vedtak-tekst"/>
      </w:pPr>
      <w:r>
        <w:t>Tilsagnsfullmakter</w:t>
      </w:r>
    </w:p>
    <w:p w:rsidR="00880768" w:rsidRDefault="00880768" w:rsidP="00880768">
      <w:r>
        <w:t>Stortinget samtykker i at Olje- og energidepartementet i 2019 kan gi tilsagn utover gitte bevil</w:t>
      </w:r>
      <w:r>
        <w:t>g</w:t>
      </w:r>
      <w:r>
        <w:t>ninger, men slik at samlet ramme for nye tilsagn og gammelt ansvar ikke overstiger følgende b</w:t>
      </w:r>
      <w:r>
        <w:t>e</w:t>
      </w:r>
      <w:r>
        <w:t>løp:</w:t>
      </w:r>
    </w:p>
    <w:p w:rsidR="00880768" w:rsidRDefault="00880768" w:rsidP="00880768">
      <w:pPr>
        <w:pStyle w:val="Tabellnavn"/>
      </w:pPr>
      <w:r>
        <w:t>04N1xt2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880768" w:rsidTr="00B45EF5">
        <w:trPr>
          <w:trHeight w:val="360"/>
        </w:trPr>
        <w:tc>
          <w:tcPr>
            <w:tcW w:w="5200" w:type="dxa"/>
            <w:shd w:val="clear" w:color="auto" w:fill="FFFFFF"/>
          </w:tcPr>
          <w:p w:rsidR="00880768" w:rsidRDefault="00880768" w:rsidP="00B45EF5">
            <w:r>
              <w:t>Kap.</w:t>
            </w:r>
          </w:p>
        </w:tc>
        <w:tc>
          <w:tcPr>
            <w:tcW w:w="1300" w:type="dxa"/>
          </w:tcPr>
          <w:p w:rsidR="00880768" w:rsidRDefault="00880768" w:rsidP="00B45EF5">
            <w:pPr>
              <w:jc w:val="right"/>
            </w:pPr>
            <w:r>
              <w:t>Post</w:t>
            </w:r>
          </w:p>
        </w:tc>
        <w:tc>
          <w:tcPr>
            <w:tcW w:w="1300" w:type="dxa"/>
          </w:tcPr>
          <w:p w:rsidR="00880768" w:rsidRDefault="00880768" w:rsidP="00B45EF5">
            <w:pPr>
              <w:jc w:val="right"/>
            </w:pPr>
            <w:r>
              <w:t>Betegnelse</w:t>
            </w:r>
          </w:p>
        </w:tc>
        <w:tc>
          <w:tcPr>
            <w:tcW w:w="1300" w:type="dxa"/>
          </w:tcPr>
          <w:p w:rsidR="00880768" w:rsidRDefault="00880768" w:rsidP="00B45EF5">
            <w:pPr>
              <w:jc w:val="right"/>
            </w:pPr>
            <w:r>
              <w:t>Samlet ramme</w:t>
            </w:r>
          </w:p>
        </w:tc>
      </w:tr>
      <w:tr w:rsidR="00880768" w:rsidTr="00B45EF5">
        <w:trPr>
          <w:trHeight w:val="380"/>
        </w:trPr>
        <w:tc>
          <w:tcPr>
            <w:tcW w:w="5200" w:type="dxa"/>
          </w:tcPr>
          <w:p w:rsidR="00880768" w:rsidRDefault="00880768" w:rsidP="00B45EF5">
            <w:r>
              <w:t>1800</w:t>
            </w:r>
          </w:p>
        </w:tc>
        <w:tc>
          <w:tcPr>
            <w:tcW w:w="1300" w:type="dxa"/>
          </w:tcPr>
          <w:p w:rsidR="00880768" w:rsidRDefault="00880768" w:rsidP="00B45EF5">
            <w:pPr>
              <w:jc w:val="right"/>
            </w:pPr>
          </w:p>
        </w:tc>
        <w:tc>
          <w:tcPr>
            <w:tcW w:w="1300" w:type="dxa"/>
          </w:tcPr>
          <w:p w:rsidR="00880768" w:rsidRDefault="00880768" w:rsidP="00B45EF5">
            <w:pPr>
              <w:jc w:val="right"/>
            </w:pPr>
            <w:r>
              <w:t>Olje- og energid</w:t>
            </w:r>
            <w:r>
              <w:t>e</w:t>
            </w:r>
            <w:r>
              <w:t>parteme</w:t>
            </w:r>
            <w:r>
              <w:t>n</w:t>
            </w:r>
            <w:r>
              <w:t>tet</w:t>
            </w:r>
          </w:p>
        </w:tc>
        <w:tc>
          <w:tcPr>
            <w:tcW w:w="1300" w:type="dxa"/>
          </w:tcPr>
          <w:p w:rsidR="00880768" w:rsidRDefault="00880768" w:rsidP="00B45EF5">
            <w:pPr>
              <w:jc w:val="right"/>
            </w:pPr>
          </w:p>
        </w:tc>
      </w:tr>
      <w:tr w:rsidR="00880768" w:rsidTr="00B45EF5">
        <w:trPr>
          <w:trHeight w:val="380"/>
        </w:trPr>
        <w:tc>
          <w:tcPr>
            <w:tcW w:w="5200" w:type="dxa"/>
          </w:tcPr>
          <w:p w:rsidR="00880768" w:rsidRDefault="00880768" w:rsidP="00B45EF5"/>
        </w:tc>
        <w:tc>
          <w:tcPr>
            <w:tcW w:w="1300" w:type="dxa"/>
          </w:tcPr>
          <w:p w:rsidR="00880768" w:rsidRDefault="00880768" w:rsidP="00B45EF5">
            <w:pPr>
              <w:jc w:val="right"/>
            </w:pPr>
            <w:r>
              <w:t>72</w:t>
            </w:r>
          </w:p>
        </w:tc>
        <w:tc>
          <w:tcPr>
            <w:tcW w:w="1300" w:type="dxa"/>
          </w:tcPr>
          <w:p w:rsidR="00880768" w:rsidRDefault="00880768" w:rsidP="00B45EF5">
            <w:pPr>
              <w:jc w:val="right"/>
            </w:pPr>
            <w:r>
              <w:t>Tilskudd til olje- og energifo</w:t>
            </w:r>
            <w:r>
              <w:t>r</w:t>
            </w:r>
            <w:r>
              <w:t>mål</w:t>
            </w:r>
          </w:p>
        </w:tc>
        <w:tc>
          <w:tcPr>
            <w:tcW w:w="1300" w:type="dxa"/>
          </w:tcPr>
          <w:p w:rsidR="00880768" w:rsidRDefault="00880768" w:rsidP="00B45EF5">
            <w:pPr>
              <w:jc w:val="right"/>
            </w:pPr>
            <w:r>
              <w:t>126 mill. kroner</w:t>
            </w:r>
          </w:p>
        </w:tc>
      </w:tr>
      <w:tr w:rsidR="00880768" w:rsidTr="00B45EF5">
        <w:trPr>
          <w:trHeight w:val="380"/>
        </w:trPr>
        <w:tc>
          <w:tcPr>
            <w:tcW w:w="5200" w:type="dxa"/>
          </w:tcPr>
          <w:p w:rsidR="00880768" w:rsidRDefault="00880768" w:rsidP="00B45EF5">
            <w:r>
              <w:t>1820</w:t>
            </w:r>
          </w:p>
        </w:tc>
        <w:tc>
          <w:tcPr>
            <w:tcW w:w="1300" w:type="dxa"/>
          </w:tcPr>
          <w:p w:rsidR="00880768" w:rsidRDefault="00880768" w:rsidP="00B45EF5">
            <w:pPr>
              <w:jc w:val="right"/>
            </w:pPr>
          </w:p>
        </w:tc>
        <w:tc>
          <w:tcPr>
            <w:tcW w:w="1300" w:type="dxa"/>
          </w:tcPr>
          <w:p w:rsidR="00880768" w:rsidRDefault="00880768" w:rsidP="00B45EF5">
            <w:pPr>
              <w:jc w:val="right"/>
            </w:pPr>
            <w:r>
              <w:t>Norges vassdrags- og energ</w:t>
            </w:r>
            <w:r>
              <w:t>i</w:t>
            </w:r>
            <w:r>
              <w:t>direktorat</w:t>
            </w:r>
          </w:p>
        </w:tc>
        <w:tc>
          <w:tcPr>
            <w:tcW w:w="1300" w:type="dxa"/>
          </w:tcPr>
          <w:p w:rsidR="00880768" w:rsidRDefault="00880768" w:rsidP="00B45EF5">
            <w:pPr>
              <w:jc w:val="right"/>
            </w:pPr>
          </w:p>
        </w:tc>
      </w:tr>
      <w:tr w:rsidR="00880768" w:rsidTr="00B45EF5">
        <w:trPr>
          <w:trHeight w:val="380"/>
        </w:trPr>
        <w:tc>
          <w:tcPr>
            <w:tcW w:w="5200" w:type="dxa"/>
          </w:tcPr>
          <w:p w:rsidR="00880768" w:rsidRDefault="00880768" w:rsidP="00B45EF5"/>
        </w:tc>
        <w:tc>
          <w:tcPr>
            <w:tcW w:w="1300" w:type="dxa"/>
          </w:tcPr>
          <w:p w:rsidR="00880768" w:rsidRDefault="00880768" w:rsidP="00B45EF5">
            <w:pPr>
              <w:jc w:val="right"/>
            </w:pPr>
            <w:r>
              <w:t>60</w:t>
            </w:r>
          </w:p>
        </w:tc>
        <w:tc>
          <w:tcPr>
            <w:tcW w:w="1300" w:type="dxa"/>
          </w:tcPr>
          <w:p w:rsidR="00880768" w:rsidRDefault="00880768" w:rsidP="00B45EF5">
            <w:pPr>
              <w:jc w:val="right"/>
            </w:pPr>
            <w:r>
              <w:t>Tilskudd til flom- og skre</w:t>
            </w:r>
            <w:r>
              <w:t>d</w:t>
            </w:r>
            <w:r>
              <w:t>foreby</w:t>
            </w:r>
            <w:r>
              <w:t>g</w:t>
            </w:r>
            <w:r>
              <w:t>ging</w:t>
            </w:r>
          </w:p>
        </w:tc>
        <w:tc>
          <w:tcPr>
            <w:tcW w:w="1300" w:type="dxa"/>
          </w:tcPr>
          <w:p w:rsidR="00880768" w:rsidRDefault="00880768" w:rsidP="00B45EF5">
            <w:pPr>
              <w:jc w:val="right"/>
            </w:pPr>
            <w:r>
              <w:t>70 mill. kroner</w:t>
            </w:r>
          </w:p>
        </w:tc>
      </w:tr>
      <w:tr w:rsidR="00880768" w:rsidTr="00B45EF5">
        <w:trPr>
          <w:trHeight w:val="380"/>
        </w:trPr>
        <w:tc>
          <w:tcPr>
            <w:tcW w:w="5200" w:type="dxa"/>
          </w:tcPr>
          <w:p w:rsidR="00880768" w:rsidRDefault="00880768" w:rsidP="00B45EF5"/>
        </w:tc>
        <w:tc>
          <w:tcPr>
            <w:tcW w:w="1300" w:type="dxa"/>
          </w:tcPr>
          <w:p w:rsidR="00880768" w:rsidRDefault="00880768" w:rsidP="00B45EF5">
            <w:pPr>
              <w:jc w:val="right"/>
            </w:pPr>
            <w:r>
              <w:t>72</w:t>
            </w:r>
          </w:p>
        </w:tc>
        <w:tc>
          <w:tcPr>
            <w:tcW w:w="1300" w:type="dxa"/>
          </w:tcPr>
          <w:p w:rsidR="00880768" w:rsidRDefault="00880768" w:rsidP="00B45EF5">
            <w:pPr>
              <w:jc w:val="right"/>
            </w:pPr>
            <w:r>
              <w:t>Tilskudd til flom- og skre</w:t>
            </w:r>
            <w:r>
              <w:t>d</w:t>
            </w:r>
            <w:r>
              <w:lastRenderedPageBreak/>
              <w:t>foreby</w:t>
            </w:r>
            <w:r>
              <w:t>g</w:t>
            </w:r>
            <w:r>
              <w:t>ging</w:t>
            </w:r>
          </w:p>
        </w:tc>
        <w:tc>
          <w:tcPr>
            <w:tcW w:w="1300" w:type="dxa"/>
          </w:tcPr>
          <w:p w:rsidR="00880768" w:rsidRDefault="00880768" w:rsidP="00B45EF5">
            <w:pPr>
              <w:jc w:val="right"/>
            </w:pPr>
            <w:r>
              <w:lastRenderedPageBreak/>
              <w:t>10 mill. kroner</w:t>
            </w:r>
          </w:p>
        </w:tc>
      </w:tr>
    </w:tbl>
    <w:p w:rsidR="00880768" w:rsidRDefault="00880768">
      <w:pPr>
        <w:pStyle w:val="a-vedtak-del"/>
        <w:pageBreakBefore/>
        <w:rPr>
          <w:sz w:val="21"/>
          <w:szCs w:val="21"/>
        </w:rPr>
      </w:pPr>
      <w:r>
        <w:rPr>
          <w:sz w:val="21"/>
          <w:szCs w:val="21"/>
        </w:rPr>
        <w:lastRenderedPageBreak/>
        <w:t>VI</w:t>
      </w:r>
    </w:p>
    <w:p w:rsidR="00880768" w:rsidRDefault="00880768" w:rsidP="00880768">
      <w:pPr>
        <w:pStyle w:val="a-vedtak-tekst"/>
      </w:pPr>
      <w:r>
        <w:t xml:space="preserve">Fullmakt til å pådra staten forpliktelser </w:t>
      </w:r>
    </w:p>
    <w:p w:rsidR="00880768" w:rsidRDefault="00880768" w:rsidP="00880768">
      <w:r>
        <w:t>Stortinget samtykker i at Olje- og energidepartementet i 2019 kan pådra staten forpliktelser utover gitte bevilgninger, men slik at samlet ramme for nye forpliktelser og gammelt ansvar ikke overst</w:t>
      </w:r>
      <w:r>
        <w:t>i</w:t>
      </w:r>
      <w:r>
        <w:t>ger følgende beløp:</w:t>
      </w:r>
    </w:p>
    <w:p w:rsidR="00880768" w:rsidRDefault="00880768" w:rsidP="00880768">
      <w:pPr>
        <w:pStyle w:val="Tabellnavn"/>
      </w:pPr>
      <w:r>
        <w:t>04N1xt2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880768" w:rsidTr="001F5BBE">
        <w:trPr>
          <w:trHeight w:val="360"/>
        </w:trPr>
        <w:tc>
          <w:tcPr>
            <w:tcW w:w="5200" w:type="dxa"/>
            <w:shd w:val="clear" w:color="auto" w:fill="FFFFFF"/>
          </w:tcPr>
          <w:p w:rsidR="00880768" w:rsidRDefault="00880768" w:rsidP="001F5BBE">
            <w:r>
              <w:t>Kap</w:t>
            </w:r>
          </w:p>
        </w:tc>
        <w:tc>
          <w:tcPr>
            <w:tcW w:w="1300" w:type="dxa"/>
          </w:tcPr>
          <w:p w:rsidR="00880768" w:rsidRDefault="00880768" w:rsidP="001F5BBE">
            <w:pPr>
              <w:jc w:val="right"/>
            </w:pPr>
            <w:r>
              <w:t>Post</w:t>
            </w:r>
          </w:p>
        </w:tc>
        <w:tc>
          <w:tcPr>
            <w:tcW w:w="1300" w:type="dxa"/>
          </w:tcPr>
          <w:p w:rsidR="00880768" w:rsidRDefault="00880768" w:rsidP="001F5BBE">
            <w:pPr>
              <w:jc w:val="right"/>
            </w:pPr>
            <w:r>
              <w:t>Betegnelse</w:t>
            </w:r>
          </w:p>
        </w:tc>
        <w:tc>
          <w:tcPr>
            <w:tcW w:w="1300" w:type="dxa"/>
          </w:tcPr>
          <w:p w:rsidR="00880768" w:rsidRDefault="00880768" w:rsidP="001F5BBE">
            <w:pPr>
              <w:jc w:val="right"/>
            </w:pPr>
            <w:r>
              <w:t>Samlet ramme</w:t>
            </w:r>
          </w:p>
        </w:tc>
      </w:tr>
      <w:tr w:rsidR="00880768" w:rsidTr="001F5BBE">
        <w:trPr>
          <w:trHeight w:val="380"/>
        </w:trPr>
        <w:tc>
          <w:tcPr>
            <w:tcW w:w="5200" w:type="dxa"/>
          </w:tcPr>
          <w:p w:rsidR="00880768" w:rsidRDefault="00880768" w:rsidP="001F5BBE">
            <w:r>
              <w:t>1800</w:t>
            </w:r>
          </w:p>
        </w:tc>
        <w:tc>
          <w:tcPr>
            <w:tcW w:w="1300" w:type="dxa"/>
          </w:tcPr>
          <w:p w:rsidR="00880768" w:rsidRDefault="00880768" w:rsidP="001F5BBE">
            <w:pPr>
              <w:jc w:val="right"/>
            </w:pPr>
          </w:p>
        </w:tc>
        <w:tc>
          <w:tcPr>
            <w:tcW w:w="1300" w:type="dxa"/>
          </w:tcPr>
          <w:p w:rsidR="00880768" w:rsidRDefault="00880768" w:rsidP="001F5BBE">
            <w:pPr>
              <w:jc w:val="right"/>
            </w:pPr>
            <w:r>
              <w:t>Olje- og energid</w:t>
            </w:r>
            <w:r>
              <w:t>e</w:t>
            </w:r>
            <w:r>
              <w:t>parteme</w:t>
            </w:r>
            <w:r>
              <w:t>n</w:t>
            </w:r>
            <w:r>
              <w:t>tet</w:t>
            </w:r>
          </w:p>
        </w:tc>
        <w:tc>
          <w:tcPr>
            <w:tcW w:w="1300" w:type="dxa"/>
          </w:tcPr>
          <w:p w:rsidR="00880768" w:rsidRDefault="00880768" w:rsidP="001F5BBE">
            <w:pPr>
              <w:jc w:val="right"/>
            </w:pPr>
          </w:p>
        </w:tc>
      </w:tr>
      <w:tr w:rsidR="00880768" w:rsidTr="001F5BBE">
        <w:trPr>
          <w:trHeight w:val="380"/>
        </w:trPr>
        <w:tc>
          <w:tcPr>
            <w:tcW w:w="5200" w:type="dxa"/>
          </w:tcPr>
          <w:p w:rsidR="00880768" w:rsidRDefault="00880768" w:rsidP="001F5BBE"/>
        </w:tc>
        <w:tc>
          <w:tcPr>
            <w:tcW w:w="1300" w:type="dxa"/>
          </w:tcPr>
          <w:p w:rsidR="00880768" w:rsidRDefault="00880768" w:rsidP="001F5BBE">
            <w:pPr>
              <w:jc w:val="right"/>
            </w:pPr>
            <w:r>
              <w:t>21</w:t>
            </w:r>
          </w:p>
        </w:tc>
        <w:tc>
          <w:tcPr>
            <w:tcW w:w="1300" w:type="dxa"/>
          </w:tcPr>
          <w:p w:rsidR="00880768" w:rsidRDefault="00880768" w:rsidP="001F5BBE">
            <w:pPr>
              <w:jc w:val="right"/>
            </w:pPr>
            <w:r>
              <w:t>Spesielle driftsu</w:t>
            </w:r>
            <w:r>
              <w:t>t</w:t>
            </w:r>
            <w:r>
              <w:t>gifter</w:t>
            </w:r>
          </w:p>
        </w:tc>
        <w:tc>
          <w:tcPr>
            <w:tcW w:w="1300" w:type="dxa"/>
          </w:tcPr>
          <w:p w:rsidR="00880768" w:rsidRDefault="00880768" w:rsidP="001F5BBE">
            <w:pPr>
              <w:jc w:val="right"/>
            </w:pPr>
            <w:r>
              <w:t>7 mill. kroner</w:t>
            </w:r>
          </w:p>
        </w:tc>
      </w:tr>
      <w:tr w:rsidR="00880768" w:rsidTr="001F5BBE">
        <w:trPr>
          <w:trHeight w:val="380"/>
        </w:trPr>
        <w:tc>
          <w:tcPr>
            <w:tcW w:w="5200" w:type="dxa"/>
          </w:tcPr>
          <w:p w:rsidR="00880768" w:rsidRDefault="00880768" w:rsidP="001F5BBE">
            <w:r>
              <w:t>1810</w:t>
            </w:r>
          </w:p>
        </w:tc>
        <w:tc>
          <w:tcPr>
            <w:tcW w:w="1300" w:type="dxa"/>
          </w:tcPr>
          <w:p w:rsidR="00880768" w:rsidRDefault="00880768" w:rsidP="001F5BBE">
            <w:pPr>
              <w:jc w:val="right"/>
            </w:pPr>
          </w:p>
        </w:tc>
        <w:tc>
          <w:tcPr>
            <w:tcW w:w="1300" w:type="dxa"/>
          </w:tcPr>
          <w:p w:rsidR="00880768" w:rsidRDefault="00880768" w:rsidP="001F5BBE">
            <w:pPr>
              <w:jc w:val="right"/>
            </w:pPr>
            <w:r>
              <w:t>Oljedire</w:t>
            </w:r>
            <w:r>
              <w:t>k</w:t>
            </w:r>
            <w:r>
              <w:t>toratet</w:t>
            </w:r>
          </w:p>
        </w:tc>
        <w:tc>
          <w:tcPr>
            <w:tcW w:w="1300" w:type="dxa"/>
          </w:tcPr>
          <w:p w:rsidR="00880768" w:rsidRDefault="00880768" w:rsidP="001F5BBE">
            <w:pPr>
              <w:jc w:val="right"/>
            </w:pPr>
          </w:p>
        </w:tc>
      </w:tr>
      <w:tr w:rsidR="00880768" w:rsidTr="001F5BBE">
        <w:trPr>
          <w:trHeight w:val="380"/>
        </w:trPr>
        <w:tc>
          <w:tcPr>
            <w:tcW w:w="5200" w:type="dxa"/>
          </w:tcPr>
          <w:p w:rsidR="00880768" w:rsidRDefault="00880768" w:rsidP="001F5BBE"/>
        </w:tc>
        <w:tc>
          <w:tcPr>
            <w:tcW w:w="1300" w:type="dxa"/>
          </w:tcPr>
          <w:p w:rsidR="00880768" w:rsidRDefault="00880768" w:rsidP="001F5BBE">
            <w:pPr>
              <w:jc w:val="right"/>
            </w:pPr>
            <w:r>
              <w:t>21</w:t>
            </w:r>
          </w:p>
        </w:tc>
        <w:tc>
          <w:tcPr>
            <w:tcW w:w="1300" w:type="dxa"/>
          </w:tcPr>
          <w:p w:rsidR="00880768" w:rsidRDefault="00880768" w:rsidP="001F5BBE">
            <w:pPr>
              <w:jc w:val="right"/>
            </w:pPr>
            <w:r>
              <w:t>Spesielle driftsu</w:t>
            </w:r>
            <w:r>
              <w:t>t</w:t>
            </w:r>
            <w:r>
              <w:t>gifter</w:t>
            </w:r>
          </w:p>
        </w:tc>
        <w:tc>
          <w:tcPr>
            <w:tcW w:w="1300" w:type="dxa"/>
          </w:tcPr>
          <w:p w:rsidR="00880768" w:rsidRDefault="00880768" w:rsidP="001F5BBE">
            <w:pPr>
              <w:jc w:val="right"/>
            </w:pPr>
            <w:r>
              <w:t>10 mill. kroner</w:t>
            </w:r>
          </w:p>
        </w:tc>
      </w:tr>
      <w:tr w:rsidR="00880768" w:rsidTr="001F5BBE">
        <w:trPr>
          <w:trHeight w:val="380"/>
        </w:trPr>
        <w:tc>
          <w:tcPr>
            <w:tcW w:w="5200" w:type="dxa"/>
          </w:tcPr>
          <w:p w:rsidR="00880768" w:rsidRDefault="00880768" w:rsidP="001F5BBE">
            <w:r>
              <w:t>1815</w:t>
            </w:r>
          </w:p>
        </w:tc>
        <w:tc>
          <w:tcPr>
            <w:tcW w:w="1300" w:type="dxa"/>
          </w:tcPr>
          <w:p w:rsidR="00880768" w:rsidRDefault="00880768" w:rsidP="001F5BBE">
            <w:pPr>
              <w:jc w:val="right"/>
            </w:pPr>
          </w:p>
        </w:tc>
        <w:tc>
          <w:tcPr>
            <w:tcW w:w="1300" w:type="dxa"/>
          </w:tcPr>
          <w:p w:rsidR="00880768" w:rsidRDefault="00880768" w:rsidP="001F5BBE">
            <w:pPr>
              <w:jc w:val="right"/>
            </w:pPr>
            <w:r>
              <w:t>Petoro AS</w:t>
            </w:r>
          </w:p>
        </w:tc>
        <w:tc>
          <w:tcPr>
            <w:tcW w:w="1300" w:type="dxa"/>
          </w:tcPr>
          <w:p w:rsidR="00880768" w:rsidRDefault="00880768" w:rsidP="001F5BBE">
            <w:pPr>
              <w:jc w:val="right"/>
            </w:pPr>
          </w:p>
        </w:tc>
      </w:tr>
      <w:tr w:rsidR="00880768" w:rsidTr="001F5BBE">
        <w:trPr>
          <w:trHeight w:val="380"/>
        </w:trPr>
        <w:tc>
          <w:tcPr>
            <w:tcW w:w="5200" w:type="dxa"/>
          </w:tcPr>
          <w:p w:rsidR="00880768" w:rsidRDefault="00880768" w:rsidP="001F5BBE"/>
        </w:tc>
        <w:tc>
          <w:tcPr>
            <w:tcW w:w="1300" w:type="dxa"/>
          </w:tcPr>
          <w:p w:rsidR="00880768" w:rsidRDefault="00880768" w:rsidP="001F5BBE">
            <w:pPr>
              <w:jc w:val="right"/>
            </w:pPr>
            <w:r>
              <w:t>70</w:t>
            </w:r>
          </w:p>
        </w:tc>
        <w:tc>
          <w:tcPr>
            <w:tcW w:w="1300" w:type="dxa"/>
          </w:tcPr>
          <w:p w:rsidR="00880768" w:rsidRDefault="00880768" w:rsidP="001F5BBE">
            <w:pPr>
              <w:jc w:val="right"/>
            </w:pPr>
            <w:r>
              <w:t>Admin</w:t>
            </w:r>
            <w:r>
              <w:t>i</w:t>
            </w:r>
            <w:r>
              <w:t>strasjon</w:t>
            </w:r>
          </w:p>
        </w:tc>
        <w:tc>
          <w:tcPr>
            <w:tcW w:w="1300" w:type="dxa"/>
          </w:tcPr>
          <w:p w:rsidR="00880768" w:rsidRDefault="00880768" w:rsidP="001F5BBE">
            <w:pPr>
              <w:jc w:val="right"/>
            </w:pPr>
            <w:r>
              <w:t>35 mill. kroner</w:t>
            </w:r>
          </w:p>
        </w:tc>
      </w:tr>
      <w:tr w:rsidR="00880768" w:rsidTr="001F5BBE">
        <w:trPr>
          <w:trHeight w:val="380"/>
        </w:trPr>
        <w:tc>
          <w:tcPr>
            <w:tcW w:w="5200" w:type="dxa"/>
          </w:tcPr>
          <w:p w:rsidR="00880768" w:rsidRDefault="00880768" w:rsidP="001F5BBE">
            <w:r>
              <w:t>1820</w:t>
            </w:r>
          </w:p>
        </w:tc>
        <w:tc>
          <w:tcPr>
            <w:tcW w:w="1300" w:type="dxa"/>
          </w:tcPr>
          <w:p w:rsidR="00880768" w:rsidRDefault="00880768" w:rsidP="001F5BBE">
            <w:pPr>
              <w:jc w:val="right"/>
            </w:pPr>
          </w:p>
        </w:tc>
        <w:tc>
          <w:tcPr>
            <w:tcW w:w="1300" w:type="dxa"/>
          </w:tcPr>
          <w:p w:rsidR="00880768" w:rsidRDefault="00880768" w:rsidP="001F5BBE">
            <w:pPr>
              <w:jc w:val="right"/>
            </w:pPr>
            <w:r>
              <w:t>Norges vassdrags- og energ</w:t>
            </w:r>
            <w:r>
              <w:t>i</w:t>
            </w:r>
            <w:r>
              <w:t>direktorat</w:t>
            </w:r>
          </w:p>
        </w:tc>
        <w:tc>
          <w:tcPr>
            <w:tcW w:w="1300" w:type="dxa"/>
          </w:tcPr>
          <w:p w:rsidR="00880768" w:rsidRDefault="00880768" w:rsidP="001F5BBE">
            <w:pPr>
              <w:jc w:val="right"/>
            </w:pPr>
          </w:p>
        </w:tc>
      </w:tr>
      <w:tr w:rsidR="00880768" w:rsidTr="001F5BBE">
        <w:trPr>
          <w:trHeight w:val="380"/>
        </w:trPr>
        <w:tc>
          <w:tcPr>
            <w:tcW w:w="5200" w:type="dxa"/>
          </w:tcPr>
          <w:p w:rsidR="00880768" w:rsidRDefault="00880768" w:rsidP="001F5BBE"/>
        </w:tc>
        <w:tc>
          <w:tcPr>
            <w:tcW w:w="1300" w:type="dxa"/>
          </w:tcPr>
          <w:p w:rsidR="00880768" w:rsidRDefault="00880768" w:rsidP="001F5BBE">
            <w:pPr>
              <w:jc w:val="right"/>
            </w:pPr>
            <w:r>
              <w:t>21</w:t>
            </w:r>
          </w:p>
        </w:tc>
        <w:tc>
          <w:tcPr>
            <w:tcW w:w="1300" w:type="dxa"/>
          </w:tcPr>
          <w:p w:rsidR="00880768" w:rsidRDefault="00880768" w:rsidP="001F5BBE">
            <w:pPr>
              <w:jc w:val="right"/>
            </w:pPr>
            <w:r>
              <w:t>Spesielle driftsu</w:t>
            </w:r>
            <w:r>
              <w:t>t</w:t>
            </w:r>
            <w:r>
              <w:t>gifter</w:t>
            </w:r>
          </w:p>
        </w:tc>
        <w:tc>
          <w:tcPr>
            <w:tcW w:w="1300" w:type="dxa"/>
          </w:tcPr>
          <w:p w:rsidR="00880768" w:rsidRDefault="00880768" w:rsidP="001F5BBE">
            <w:pPr>
              <w:jc w:val="right"/>
            </w:pPr>
            <w:r>
              <w:t>10 mill. kroner</w:t>
            </w:r>
          </w:p>
        </w:tc>
      </w:tr>
      <w:tr w:rsidR="00880768" w:rsidTr="001F5BBE">
        <w:trPr>
          <w:trHeight w:val="380"/>
        </w:trPr>
        <w:tc>
          <w:tcPr>
            <w:tcW w:w="5200" w:type="dxa"/>
          </w:tcPr>
          <w:p w:rsidR="00880768" w:rsidRDefault="00880768" w:rsidP="001F5BBE"/>
        </w:tc>
        <w:tc>
          <w:tcPr>
            <w:tcW w:w="1300" w:type="dxa"/>
          </w:tcPr>
          <w:p w:rsidR="00880768" w:rsidRDefault="00880768" w:rsidP="001F5BBE">
            <w:pPr>
              <w:jc w:val="right"/>
            </w:pPr>
            <w:r>
              <w:t>22</w:t>
            </w:r>
          </w:p>
        </w:tc>
        <w:tc>
          <w:tcPr>
            <w:tcW w:w="1300" w:type="dxa"/>
          </w:tcPr>
          <w:p w:rsidR="00880768" w:rsidRDefault="00880768" w:rsidP="001F5BBE">
            <w:pPr>
              <w:jc w:val="right"/>
            </w:pPr>
            <w:r>
              <w:t>Flom- og skredf</w:t>
            </w:r>
            <w:r>
              <w:t>o</w:t>
            </w:r>
            <w:r>
              <w:t>rebygging</w:t>
            </w:r>
          </w:p>
        </w:tc>
        <w:tc>
          <w:tcPr>
            <w:tcW w:w="1300" w:type="dxa"/>
          </w:tcPr>
          <w:p w:rsidR="00880768" w:rsidRDefault="00880768" w:rsidP="001F5BBE">
            <w:pPr>
              <w:jc w:val="right"/>
            </w:pPr>
            <w:r>
              <w:t>150 mill. kroner</w:t>
            </w:r>
          </w:p>
        </w:tc>
      </w:tr>
      <w:tr w:rsidR="00880768" w:rsidTr="001F5BBE">
        <w:trPr>
          <w:trHeight w:val="380"/>
        </w:trPr>
        <w:tc>
          <w:tcPr>
            <w:tcW w:w="5200" w:type="dxa"/>
          </w:tcPr>
          <w:p w:rsidR="00880768" w:rsidRDefault="00880768" w:rsidP="001F5BBE">
            <w:r>
              <w:t>1840</w:t>
            </w:r>
          </w:p>
        </w:tc>
        <w:tc>
          <w:tcPr>
            <w:tcW w:w="1300" w:type="dxa"/>
          </w:tcPr>
          <w:p w:rsidR="00880768" w:rsidRDefault="00880768" w:rsidP="001F5BBE">
            <w:pPr>
              <w:jc w:val="right"/>
            </w:pPr>
          </w:p>
        </w:tc>
        <w:tc>
          <w:tcPr>
            <w:tcW w:w="1300" w:type="dxa"/>
          </w:tcPr>
          <w:p w:rsidR="00880768" w:rsidRDefault="00880768" w:rsidP="001F5BBE">
            <w:pPr>
              <w:jc w:val="right"/>
            </w:pPr>
            <w:r>
              <w:t>CO</w:t>
            </w:r>
            <w:r>
              <w:rPr>
                <w:rStyle w:val="skrift-senket"/>
                <w:sz w:val="21"/>
                <w:szCs w:val="21"/>
              </w:rPr>
              <w:t>2</w:t>
            </w:r>
            <w:r>
              <w:t>-håndtering</w:t>
            </w:r>
          </w:p>
        </w:tc>
        <w:tc>
          <w:tcPr>
            <w:tcW w:w="1300" w:type="dxa"/>
          </w:tcPr>
          <w:p w:rsidR="00880768" w:rsidRDefault="00880768" w:rsidP="001F5BBE">
            <w:pPr>
              <w:jc w:val="right"/>
            </w:pPr>
          </w:p>
        </w:tc>
      </w:tr>
      <w:tr w:rsidR="00880768" w:rsidTr="001F5BBE">
        <w:trPr>
          <w:trHeight w:val="380"/>
        </w:trPr>
        <w:tc>
          <w:tcPr>
            <w:tcW w:w="5200" w:type="dxa"/>
          </w:tcPr>
          <w:p w:rsidR="00880768" w:rsidRDefault="00880768" w:rsidP="001F5BBE"/>
        </w:tc>
        <w:tc>
          <w:tcPr>
            <w:tcW w:w="1300" w:type="dxa"/>
          </w:tcPr>
          <w:p w:rsidR="00880768" w:rsidRDefault="00880768" w:rsidP="001F5BBE">
            <w:pPr>
              <w:jc w:val="right"/>
            </w:pPr>
            <w:r>
              <w:t>70</w:t>
            </w:r>
          </w:p>
        </w:tc>
        <w:tc>
          <w:tcPr>
            <w:tcW w:w="1300" w:type="dxa"/>
          </w:tcPr>
          <w:p w:rsidR="00880768" w:rsidRDefault="00880768" w:rsidP="001F5BBE">
            <w:pPr>
              <w:jc w:val="right"/>
            </w:pPr>
            <w:r>
              <w:t>Admin</w:t>
            </w:r>
            <w:r>
              <w:t>i</w:t>
            </w:r>
            <w:r>
              <w:t>strasjon, Gassnova SF</w:t>
            </w:r>
          </w:p>
        </w:tc>
        <w:tc>
          <w:tcPr>
            <w:tcW w:w="1300" w:type="dxa"/>
          </w:tcPr>
          <w:p w:rsidR="00880768" w:rsidRDefault="00880768" w:rsidP="001F5BBE">
            <w:pPr>
              <w:jc w:val="right"/>
            </w:pPr>
            <w:r>
              <w:t>20 mill. kroner</w:t>
            </w:r>
          </w:p>
        </w:tc>
      </w:tr>
    </w:tbl>
    <w:p w:rsidR="00880768" w:rsidRDefault="00880768">
      <w:pPr>
        <w:pStyle w:val="a-vedtak-del"/>
        <w:rPr>
          <w:sz w:val="21"/>
          <w:szCs w:val="21"/>
        </w:rPr>
      </w:pPr>
      <w:r>
        <w:rPr>
          <w:sz w:val="21"/>
          <w:szCs w:val="21"/>
        </w:rPr>
        <w:t>VII</w:t>
      </w:r>
    </w:p>
    <w:p w:rsidR="00880768" w:rsidRDefault="00880768" w:rsidP="00880768">
      <w:pPr>
        <w:pStyle w:val="a-vedtak-tekst"/>
      </w:pPr>
      <w:r>
        <w:lastRenderedPageBreak/>
        <w:t>Forpliktelser under avsetningsinstruksen og øvrige driftsrelaterte forpliktelser</w:t>
      </w:r>
    </w:p>
    <w:p w:rsidR="00880768" w:rsidRDefault="00880768" w:rsidP="00880768">
      <w:r>
        <w:t>Stortinget samtykker i at Olje- og energidepartementet i 2019 kan pådra staten forpliktelser utover bevilgningene under kap. 2440/5440 Statens direkte økonomiske engasjement i petroleumsvir</w:t>
      </w:r>
      <w:r>
        <w:t>k</w:t>
      </w:r>
      <w:r>
        <w:t>somheten, knyttet til:</w:t>
      </w:r>
    </w:p>
    <w:p w:rsidR="00880768" w:rsidRDefault="00880768" w:rsidP="0063539A">
      <w:pPr>
        <w:pStyle w:val="Nummerertliste"/>
        <w:numPr>
          <w:ilvl w:val="0"/>
          <w:numId w:val="32"/>
        </w:numPr>
      </w:pPr>
      <w:r>
        <w:t>løpende forretningsvirksomhet i interessentskapene, samt deltakelse i annen virksomhet som har tilknytning til leting og utvinning av petroleum.</w:t>
      </w:r>
    </w:p>
    <w:p w:rsidR="00880768" w:rsidRDefault="00880768" w:rsidP="00880768">
      <w:pPr>
        <w:pStyle w:val="Nummerertliste"/>
      </w:pPr>
      <w:r>
        <w:t>avsetning av statens petroleum etter avsetningsinstruksen gitt Equinor ASA.</w:t>
      </w:r>
    </w:p>
    <w:p w:rsidR="00880768" w:rsidRDefault="00880768" w:rsidP="00880768">
      <w:pPr>
        <w:pStyle w:val="a-vedtak-del"/>
      </w:pPr>
      <w:r>
        <w:t>VIII</w:t>
      </w:r>
    </w:p>
    <w:p w:rsidR="00880768" w:rsidRDefault="00880768" w:rsidP="00880768">
      <w:pPr>
        <w:pStyle w:val="a-vedtak-tekst"/>
      </w:pPr>
      <w:r>
        <w:t>Utbyggingsrelaterte forpliktelser</w:t>
      </w:r>
    </w:p>
    <w:p w:rsidR="00880768" w:rsidRDefault="00880768" w:rsidP="00880768">
      <w:r>
        <w:t>Stortinget samtykker i at Olje- og energidepartementet i 2019 kan pådra staten forpliktelser utover bevilgningene under kap. 2440/5440 Statens direkte økonomiske engasjement i petroleumsvir</w:t>
      </w:r>
      <w:r>
        <w:t>k</w:t>
      </w:r>
      <w:r>
        <w:t>somheten, hvor øvre grense for statens forholdsmessige andel for det enkelte prosjekt/fase utgjør inntil 5 mrd. kroner knyttet til deltakelse i:</w:t>
      </w:r>
    </w:p>
    <w:p w:rsidR="00880768" w:rsidRDefault="00880768" w:rsidP="0063539A">
      <w:pPr>
        <w:pStyle w:val="Nummerertliste"/>
        <w:numPr>
          <w:ilvl w:val="0"/>
          <w:numId w:val="33"/>
        </w:numPr>
      </w:pPr>
      <w:r>
        <w:t>utbyggingsprosjekter (planer for utbygging/anlegg og drift) på norsk kontinentalsokkel.</w:t>
      </w:r>
    </w:p>
    <w:p w:rsidR="00880768" w:rsidRDefault="00880768" w:rsidP="00880768">
      <w:pPr>
        <w:pStyle w:val="Nummerertliste"/>
      </w:pPr>
      <w:r>
        <w:t>utviklingsprosjekter under Gassled eller andre interessentskap.</w:t>
      </w:r>
    </w:p>
    <w:p w:rsidR="00880768" w:rsidRDefault="00880768" w:rsidP="00880768">
      <w:pPr>
        <w:pStyle w:val="a-vedtak-del"/>
      </w:pPr>
      <w:r>
        <w:t>IX</w:t>
      </w:r>
    </w:p>
    <w:p w:rsidR="00880768" w:rsidRDefault="00880768" w:rsidP="00880768">
      <w:pPr>
        <w:pStyle w:val="a-vedtak-tekst"/>
      </w:pPr>
      <w:r>
        <w:t>Forpliktelser før plan for utbygging og drift og for anlegg og drift er behandlet</w:t>
      </w:r>
    </w:p>
    <w:p w:rsidR="00880768" w:rsidRDefault="00880768" w:rsidP="00880768">
      <w:r>
        <w:t>Stortinget samtykker i at Olje- og energidepartementet i 2019 kan pådra staten forpliktelser utover bevilgningene under kap. 2440/5440 Statens direkte økonomiske engasjement i petroleumsvir</w:t>
      </w:r>
      <w:r>
        <w:t>k</w:t>
      </w:r>
      <w:r>
        <w:t>somheten knyttet til kontraktsmessige forpliktelser i fasen før plan for utbygging og drift er go</w:t>
      </w:r>
      <w:r>
        <w:t>d</w:t>
      </w:r>
      <w:r>
        <w:t>kjent eller før tillatelse til anlegg og drift er gitt, herunder forpliktelser knyttet til en pre-interessentskapsfase.</w:t>
      </w:r>
    </w:p>
    <w:p w:rsidR="00880768" w:rsidRDefault="00880768" w:rsidP="00880768">
      <w:pPr>
        <w:pStyle w:val="Fullmakttit"/>
      </w:pPr>
      <w:r>
        <w:t>Andre fullmakter</w:t>
      </w:r>
    </w:p>
    <w:p w:rsidR="00880768" w:rsidRDefault="00880768" w:rsidP="00880768">
      <w:pPr>
        <w:pStyle w:val="a-vedtak-del"/>
      </w:pPr>
      <w:r>
        <w:t>X</w:t>
      </w:r>
    </w:p>
    <w:p w:rsidR="00880768" w:rsidRDefault="00880768" w:rsidP="00880768">
      <w:pPr>
        <w:pStyle w:val="a-vedtak-tekst"/>
      </w:pPr>
      <w:r>
        <w:t>Overføring av eiendomsrett mot bruksrett</w:t>
      </w:r>
    </w:p>
    <w:p w:rsidR="00880768" w:rsidRDefault="00880768" w:rsidP="00880768">
      <w:r>
        <w:t>Stortinget samtykker i at Olje- og energidepartementet i 2019 kan godkjenne overføring av eie</w:t>
      </w:r>
      <w:r>
        <w:t>n</w:t>
      </w:r>
      <w:r>
        <w:t>domsrett fra en rettighetshavergruppe hvor Petoro AS som forvalter av SDØE er en av rettighet</w:t>
      </w:r>
      <w:r>
        <w:t>s</w:t>
      </w:r>
      <w:r>
        <w:t>haverne, til en annen rettighetshavergruppe. Det forutsettes at Petoro AS som forvalter av SDØE er sikret tilstrekkelig bruksrett. Denne fullmakt vil gjelde for de prosjekter hvor Olje- og energidepa</w:t>
      </w:r>
      <w:r>
        <w:t>r</w:t>
      </w:r>
      <w:r>
        <w:t>tementet har fullmakt til å godkjenne plan for utbygging/anlegg og drift, samt ved mindre endringer for prosjekter hvor plan for utbygging/anlegg og drift allerede er godkjent. Fullmakten gis under forutsetning av at overføring av eiendomsrett ikke har prinsipielle eller samfunnsmessige sider av betydning.</w:t>
      </w:r>
    </w:p>
    <w:p w:rsidR="00880768" w:rsidRDefault="00880768" w:rsidP="00880768">
      <w:pPr>
        <w:pStyle w:val="a-vedtak-del"/>
      </w:pPr>
      <w:r>
        <w:t>XI</w:t>
      </w:r>
    </w:p>
    <w:p w:rsidR="00880768" w:rsidRDefault="00880768" w:rsidP="00880768">
      <w:pPr>
        <w:pStyle w:val="a-vedtak-tekst"/>
      </w:pPr>
      <w:r>
        <w:t>Overdragelse av andeler i utvinningstillatelser</w:t>
      </w:r>
    </w:p>
    <w:p w:rsidR="00880768" w:rsidRDefault="00880768" w:rsidP="00880768">
      <w:r>
        <w:t>Stortinget samtykker i at Olje- og energidepartementet i 2019 kan godkjenne overdragelse (salg, kjøp eller bytte) av deltakerandeler for Petoro AS som forvalter av SDØE der det antas at ressurs</w:t>
      </w:r>
      <w:r>
        <w:t>e</w:t>
      </w:r>
      <w:r>
        <w:t>ne i utvinningstillatelsen på tidspunkt for overdragelsen er mindre enn 3 mill. Sm</w:t>
      </w:r>
      <w:r>
        <w:rPr>
          <w:rStyle w:val="skrift-hevet"/>
          <w:spacing w:val="-2"/>
          <w:sz w:val="21"/>
          <w:szCs w:val="21"/>
        </w:rPr>
        <w:t xml:space="preserve">3 </w:t>
      </w:r>
      <w:r>
        <w:t>oljeekvivalenter.</w:t>
      </w:r>
    </w:p>
    <w:p w:rsidR="00880768" w:rsidRDefault="00880768" w:rsidP="00880768">
      <w:pPr>
        <w:pStyle w:val="a-vedtak-del"/>
      </w:pPr>
      <w:r>
        <w:t>XII</w:t>
      </w:r>
    </w:p>
    <w:p w:rsidR="00880768" w:rsidRDefault="00880768" w:rsidP="00880768">
      <w:pPr>
        <w:pStyle w:val="a-vedtak-tekst"/>
      </w:pPr>
      <w:r>
        <w:lastRenderedPageBreak/>
        <w:t>Overdragelse og samordning av andeler i utvinningstillatelser</w:t>
      </w:r>
    </w:p>
    <w:p w:rsidR="00880768" w:rsidRDefault="00880768" w:rsidP="00880768">
      <w:r>
        <w:t>Stortinget samtykker i at Olje- og energidepartementet i 2019 kan godkjenne at Petoro AS kan de</w:t>
      </w:r>
      <w:r>
        <w:t>l</w:t>
      </w:r>
      <w:r>
        <w:t>ta i:</w:t>
      </w:r>
    </w:p>
    <w:p w:rsidR="00880768" w:rsidRDefault="00880768" w:rsidP="0063539A">
      <w:pPr>
        <w:pStyle w:val="Nummerertliste"/>
        <w:numPr>
          <w:ilvl w:val="0"/>
          <w:numId w:val="34"/>
        </w:numPr>
      </w:pPr>
      <w:r>
        <w:t xml:space="preserve">overdragelse (salg, kjøp eller bytte) av deltakerandeler i interessentskap hvor en rettighetshaver velger </w:t>
      </w:r>
      <w:proofErr w:type="gramStart"/>
      <w:r>
        <w:t>å</w:t>
      </w:r>
      <w:proofErr w:type="gramEnd"/>
      <w:r>
        <w:t xml:space="preserve"> tre ut av interessentskapet og hvor SDØE berøres av overdragelsen.</w:t>
      </w:r>
    </w:p>
    <w:p w:rsidR="00880768" w:rsidRDefault="00880768" w:rsidP="00880768">
      <w:pPr>
        <w:pStyle w:val="Nummerertliste"/>
      </w:pPr>
      <w:r>
        <w:t>forenklet samordning av utvinningstillatelser med SDØE-andeler.</w:t>
      </w:r>
    </w:p>
    <w:p w:rsidR="00880768" w:rsidRDefault="00880768" w:rsidP="00880768">
      <w:pPr>
        <w:pStyle w:val="Nummerertliste"/>
      </w:pPr>
      <w:r>
        <w:t>ny/endret plan for utbygging og drift av forekomster innenfor et samordnet område med SDØE-deltakelse.</w:t>
      </w:r>
    </w:p>
    <w:p w:rsidR="00880768" w:rsidRDefault="00880768" w:rsidP="00880768">
      <w:pPr>
        <w:pStyle w:val="Nummerertliste"/>
      </w:pPr>
      <w:r>
        <w:t>overdragelse av deltakerandeler for å oppnå fortsatt harmonisering av deltakerandeler i utvi</w:t>
      </w:r>
      <w:r>
        <w:t>n</w:t>
      </w:r>
      <w:r>
        <w:t>ningstillatelser som er samordnet og hvor SDØE berøres av overdragelsen.</w:t>
      </w:r>
    </w:p>
    <w:p w:rsidR="00880768" w:rsidRDefault="00880768" w:rsidP="00880768">
      <w:pPr>
        <w:pStyle w:val="a-vedtak-del"/>
      </w:pPr>
      <w:r>
        <w:t>XIII</w:t>
      </w:r>
    </w:p>
    <w:p w:rsidR="00880768" w:rsidRDefault="00880768" w:rsidP="00880768">
      <w:pPr>
        <w:pStyle w:val="a-vedtak-tekst"/>
      </w:pPr>
      <w:r>
        <w:t>Overdragelse av andeler i rørledninger mv.</w:t>
      </w:r>
    </w:p>
    <w:p w:rsidR="00880768" w:rsidRDefault="00880768" w:rsidP="00880768">
      <w:r>
        <w:t>Stortinget samtykker i at Olje- og energidepartementet i 2019 kan godkjenne nødvendige transa</w:t>
      </w:r>
      <w:r>
        <w:t>k</w:t>
      </w:r>
      <w:r>
        <w:t>sjoner for overdragelse av andeler for Petoro AS som forvalter av SDØE for å innlemme rørle</w:t>
      </w:r>
      <w:r>
        <w:t>d</w:t>
      </w:r>
      <w:r>
        <w:t>ninger og transportrelaterte anlegg med SDØE-andel i Gassled eller andre interessentskap. Statens andel i Gassled eller andre interessentskap skal justeres for å gjenspeile innlemmelsen.</w:t>
      </w:r>
    </w:p>
    <w:p w:rsidR="00880768" w:rsidRDefault="00880768" w:rsidP="00880768">
      <w:pPr>
        <w:pStyle w:val="a-vedtak-del"/>
      </w:pPr>
      <w:r>
        <w:t>XIV</w:t>
      </w:r>
    </w:p>
    <w:p w:rsidR="00880768" w:rsidRDefault="00880768" w:rsidP="00880768">
      <w:pPr>
        <w:pStyle w:val="a-vedtak-tekst"/>
      </w:pPr>
      <w:r>
        <w:t>Utbyggingsprosjekter på norsk kontinentalsokkel</w:t>
      </w:r>
    </w:p>
    <w:p w:rsidR="00880768" w:rsidRDefault="00880768" w:rsidP="00880768">
      <w:r>
        <w:t>Stortinget samtykker i at Olje- og energidepartementet kan godkjenne prosjekter (planer for utby</w:t>
      </w:r>
      <w:r>
        <w:t>g</w:t>
      </w:r>
      <w:r>
        <w:t>ging/anlegg og drift) på norsk kontinentalsokkel under følgende forutsetninger:</w:t>
      </w:r>
    </w:p>
    <w:p w:rsidR="00880768" w:rsidRDefault="00880768" w:rsidP="0063539A">
      <w:pPr>
        <w:pStyle w:val="Nummerertliste"/>
        <w:numPr>
          <w:ilvl w:val="0"/>
          <w:numId w:val="35"/>
        </w:numPr>
      </w:pPr>
      <w:r>
        <w:t>Prosjektet må ikke ha prinsipielle eller samfunnsmessige sider av betydning.</w:t>
      </w:r>
    </w:p>
    <w:p w:rsidR="00880768" w:rsidRDefault="00880768" w:rsidP="00880768">
      <w:pPr>
        <w:pStyle w:val="Nummerertliste"/>
      </w:pPr>
      <w:r>
        <w:t>Øvre grense for de samlede investeringer per prosjekt utgjør 20 mrd. kroner.</w:t>
      </w:r>
    </w:p>
    <w:p w:rsidR="00880768" w:rsidRDefault="00880768" w:rsidP="00880768">
      <w:pPr>
        <w:pStyle w:val="Nummerertliste"/>
      </w:pPr>
      <w:r>
        <w:t>Hvert enkelt prosjekt må vise akseptabel samfunnsøkonomisk lønnsomhet og være rimelig robust mot endringer i prisutviklingen for olje og naturgass.</w:t>
      </w:r>
    </w:p>
    <w:p w:rsidR="00880768" w:rsidRDefault="00880768" w:rsidP="00880768">
      <w:pPr>
        <w:pStyle w:val="vedlegg-nr"/>
      </w:pPr>
    </w:p>
    <w:p w:rsidR="00880768" w:rsidRDefault="00880768" w:rsidP="00880768">
      <w:pPr>
        <w:pStyle w:val="vedlegg-tit"/>
      </w:pPr>
      <w:r>
        <w:t>Vedtak fra tidligere år som gjelder uten tidsavgrensning</w:t>
      </w:r>
    </w:p>
    <w:p w:rsidR="00880768" w:rsidRDefault="00880768" w:rsidP="00880768">
      <w:pPr>
        <w:pStyle w:val="avsnitt-tittel"/>
      </w:pPr>
      <w:r>
        <w:t>Garantifullmakt</w:t>
      </w:r>
    </w:p>
    <w:p w:rsidR="00880768" w:rsidRDefault="00880768" w:rsidP="00880768">
      <w:r>
        <w:t>Stortinget samtykker i at Olje- og energidepartementet kan gi Gassco AS garanti innenfor en sa</w:t>
      </w:r>
      <w:r>
        <w:t>m</w:t>
      </w:r>
      <w:r>
        <w:t xml:space="preserve">let ramme på inntil 1 mrd. kroner for skader og tap ved mottaksterminalene på kontinentet som har oppstått som følge av forsettlige handlinger hos ledende personell i Gassco AS, jf. St.prp. nr. 1 (2007–2008) og Budsjett-innst. S. nr. 9 (2007–2008), vedtak VII. </w:t>
      </w:r>
    </w:p>
    <w:p w:rsidR="00880768" w:rsidRDefault="00880768" w:rsidP="00880768">
      <w:pPr>
        <w:pStyle w:val="avsnitt-tittel"/>
      </w:pPr>
      <w:r>
        <w:t>Opphevelse av generalforsamlingsklausulen</w:t>
      </w:r>
    </w:p>
    <w:p w:rsidR="00880768" w:rsidRDefault="00880768" w:rsidP="00880768">
      <w:r>
        <w:t>Stortinget samtykker i at generalforsamlingsklausulen skal kunne oppheves for gitte tillatelser og erstattes av en vetorett i tråd med konsesjonsdirektivet og petroleumsforskriftens § 12, dersom re</w:t>
      </w:r>
      <w:r>
        <w:t>t</w:t>
      </w:r>
      <w:r>
        <w:t>tighetshaverne skulle ønske dette. Olje- og energidepartementet skal i så fall godkjenne dette i hvert enkelt tilfelle, jf. St.prp. nr. 1 (2002–2003), vedtak XI og Budsjett-innst. S. nr. 9 (2002–2003), vedtak VIII.</w:t>
      </w:r>
    </w:p>
    <w:p w:rsidR="00880768" w:rsidRDefault="00880768" w:rsidP="00880768">
      <w:pPr>
        <w:pStyle w:val="avsnitt-tittel"/>
      </w:pPr>
      <w:r>
        <w:lastRenderedPageBreak/>
        <w:t>Fullmakt til å delta i eierselskap mv.</w:t>
      </w:r>
    </w:p>
    <w:p w:rsidR="00880768" w:rsidRDefault="00880768" w:rsidP="00880768">
      <w:r>
        <w:t>Stortinget samtykker i at Olje- og energidepartementet kan delta gjennom et eierselskap eid av Gassnova SF og et driftsselskap med delt ansvar (DA) og dekke 100 prosent av eierselskapets og inntil 80 prosentav driftsselskapets årlige utgifter ved Teknologisenter for CO</w:t>
      </w:r>
      <w:r>
        <w:rPr>
          <w:rStyle w:val="skrift-senket"/>
          <w:sz w:val="21"/>
          <w:szCs w:val="21"/>
        </w:rPr>
        <w:t>2</w:t>
      </w:r>
      <w:r>
        <w:t xml:space="preserve">-fangst på Mongstad (TCM) i perioden 2017 til 2020. Staten, eller den staten utpeker, kan invitere andre selskaper som medeiere i </w:t>
      </w:r>
      <w:proofErr w:type="gramStart"/>
      <w:r>
        <w:t>driftsselskapet,noe</w:t>
      </w:r>
      <w:proofErr w:type="gramEnd"/>
      <w:r>
        <w:t xml:space="preserve"> som vil redusere statens andel i selskapet, jf. Prop. 129 S (2016–2017) og Innst. 401 S (2016–2017), vedtak XXXXI.</w:t>
      </w:r>
    </w:p>
    <w:p w:rsidR="00880768" w:rsidRDefault="00880768" w:rsidP="00880768">
      <w:pPr>
        <w:pStyle w:val="avsnitt-tittel"/>
      </w:pPr>
      <w:r>
        <w:t>Fullmakt til å inngå forpliktelser i forbindelse med TCM</w:t>
      </w:r>
    </w:p>
    <w:p w:rsidR="00880768" w:rsidRDefault="00880768" w:rsidP="00880768">
      <w:r>
        <w:t>Stortinget samtykker i at Olje- og energidepartementet kan pådra staten forpliktelser utover gitt bevilgning under kap. 1840 CO</w:t>
      </w:r>
      <w:r>
        <w:rPr>
          <w:rStyle w:val="skrift-senket"/>
          <w:sz w:val="21"/>
          <w:szCs w:val="21"/>
        </w:rPr>
        <w:t>2</w:t>
      </w:r>
      <w:r>
        <w:t>-håndtering, post 71 Tilskudd til Teknologisenter for CO</w:t>
      </w:r>
      <w:r>
        <w:rPr>
          <w:rStyle w:val="skrift-senket"/>
          <w:sz w:val="21"/>
          <w:szCs w:val="21"/>
        </w:rPr>
        <w:t>2</w:t>
      </w:r>
      <w:r>
        <w:t>-fangst på Mongstad, som påløper som følge av riving av anleggene ved TCM når dette eventuelt iverksettes, jf. Prop. 129 S (2016–2017) og Innst. 401 S (2016–2017), vedtak XXIV.</w:t>
      </w:r>
    </w:p>
    <w:p w:rsidR="00880768" w:rsidRDefault="00880768" w:rsidP="00880768">
      <w:pPr>
        <w:pStyle w:val="avsnitt-tittel"/>
      </w:pPr>
      <w:r>
        <w:t>Realisering av fullskalaanlegg for CO</w:t>
      </w:r>
      <w:r>
        <w:rPr>
          <w:rStyle w:val="skrift-senket"/>
          <w:sz w:val="21"/>
          <w:szCs w:val="21"/>
        </w:rPr>
        <w:t>2</w:t>
      </w:r>
      <w:r>
        <w:t>-håndtering</w:t>
      </w:r>
    </w:p>
    <w:p w:rsidR="00880768" w:rsidRDefault="00880768" w:rsidP="00880768">
      <w:r>
        <w:t>Stortinget samtykker i ambisjonen om å realisere minst ett fullskalaanlegg for fangst og lagring av CO</w:t>
      </w:r>
      <w:r>
        <w:rPr>
          <w:rStyle w:val="skrift-senket"/>
          <w:sz w:val="21"/>
          <w:szCs w:val="21"/>
        </w:rPr>
        <w:t>2</w:t>
      </w:r>
      <w:r>
        <w:t xml:space="preserve"> innen 2020, jf. Prop. 1 S Tillegg 1 (2013–2014) og Innst. 9 S (2013–2014), vedtak XIX.</w:t>
      </w:r>
    </w:p>
    <w:p w:rsidR="00880768" w:rsidRDefault="00880768" w:rsidP="00880768"/>
    <w:sectPr w:rsidR="0088076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39A" w:rsidRDefault="0063539A">
      <w:pPr>
        <w:spacing w:after="0"/>
      </w:pPr>
      <w:r>
        <w:separator/>
      </w:r>
    </w:p>
  </w:endnote>
  <w:endnote w:type="continuationSeparator" w:id="0">
    <w:p w:rsidR="0063539A" w:rsidRDefault="006353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DepCentury Old Style">
    <w:panose1 w:val="02030603060405030204"/>
    <w:charset w:val="00"/>
    <w:family w:val="roman"/>
    <w:pitch w:val="variable"/>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68" w:rsidRDefault="00880768">
    <w:pPr>
      <w:widowControl w:val="0"/>
      <w:rPr>
        <w:rFonts w:ascii="Symbol" w:hAnsi="Symbol"/>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68" w:rsidRDefault="00880768">
    <w:pPr>
      <w:widowControl w:val="0"/>
      <w:rPr>
        <w:rFonts w:ascii="Symbol" w:hAnsi="Symbol"/>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68" w:rsidRDefault="00880768" w:rsidP="004C1F72">
    <w:pPr>
      <w:pStyle w:val="Overskrift1"/>
      <w:keepNext w:val="0"/>
      <w:numPr>
        <w:ilvl w:val="0"/>
        <w:numId w:val="0"/>
      </w:numPr>
      <w:spacing w:after="0" w:line="240" w:lineRule="atLeast"/>
      <w:jc w:val="lef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39A" w:rsidRDefault="0063539A">
      <w:pPr>
        <w:spacing w:after="0"/>
      </w:pPr>
      <w:r>
        <w:separator/>
      </w:r>
    </w:p>
  </w:footnote>
  <w:footnote w:type="continuationSeparator" w:id="0">
    <w:p w:rsidR="0063539A" w:rsidRDefault="0063539A">
      <w:pPr>
        <w:spacing w:after="0"/>
      </w:pPr>
      <w:r>
        <w:continuationSeparator/>
      </w:r>
    </w:p>
  </w:footnote>
  <w:footnote w:id="1">
    <w:p w:rsidR="00624D98" w:rsidRDefault="00880768">
      <w:pPr>
        <w:pStyle w:val="Fotnotetekst"/>
      </w:pPr>
      <w:r>
        <w:rPr>
          <w:vertAlign w:val="superscript"/>
        </w:rPr>
        <w:footnoteRef/>
      </w:r>
      <w:r>
        <w:rPr>
          <w:sz w:val="17"/>
          <w:szCs w:val="17"/>
        </w:rPr>
        <w:t xml:space="preserve"> Det vises til nærmere omtale i Prop. 4 S (2017–2018). </w:t>
      </w:r>
    </w:p>
  </w:footnote>
  <w:footnote w:id="2">
    <w:p w:rsidR="00624D98" w:rsidRPr="007F7396" w:rsidRDefault="00880768">
      <w:pPr>
        <w:pStyle w:val="Fotnotetekst"/>
        <w:rPr>
          <w:lang w:val="en-US"/>
        </w:rPr>
      </w:pPr>
      <w:r>
        <w:rPr>
          <w:vertAlign w:val="superscript"/>
        </w:rPr>
        <w:footnoteRef/>
      </w:r>
      <w:r w:rsidRPr="004C1F72">
        <w:rPr>
          <w:sz w:val="17"/>
          <w:szCs w:val="17"/>
          <w:lang w:val="en-US"/>
        </w:rPr>
        <w:t>NORsk SOkkels Konkurranseposisjon</w:t>
      </w:r>
    </w:p>
  </w:footnote>
  <w:footnote w:id="3">
    <w:p w:rsidR="00624D98" w:rsidRPr="007F7396" w:rsidRDefault="00880768">
      <w:pPr>
        <w:pStyle w:val="Fotnotetekst"/>
        <w:rPr>
          <w:lang w:val="en-US"/>
        </w:rPr>
      </w:pPr>
      <w:r>
        <w:rPr>
          <w:vertAlign w:val="superscript"/>
        </w:rPr>
        <w:footnoteRef/>
      </w:r>
      <w:r w:rsidRPr="004C1F72">
        <w:rPr>
          <w:sz w:val="17"/>
          <w:szCs w:val="17"/>
          <w:lang w:val="en-US"/>
        </w:rPr>
        <w:t xml:space="preserve">Council of European Energy Regulators (CEER) </w:t>
      </w:r>
      <w:proofErr w:type="gramStart"/>
      <w:r w:rsidRPr="004C1F72">
        <w:rPr>
          <w:sz w:val="17"/>
          <w:szCs w:val="17"/>
          <w:lang w:val="en-US"/>
        </w:rPr>
        <w:t>og</w:t>
      </w:r>
      <w:proofErr w:type="gramEnd"/>
      <w:r w:rsidRPr="004C1F72">
        <w:rPr>
          <w:sz w:val="17"/>
          <w:szCs w:val="17"/>
          <w:lang w:val="en-US"/>
        </w:rPr>
        <w:t xml:space="preserve"> Agency for the Cooperation of Energy Regulators (ACER). </w:t>
      </w:r>
    </w:p>
  </w:footnote>
  <w:footnote w:id="4">
    <w:p w:rsidR="00624D98" w:rsidRDefault="00880768">
      <w:pPr>
        <w:pStyle w:val="Fotnotetekst"/>
      </w:pPr>
      <w:r>
        <w:rPr>
          <w:vertAlign w:val="superscript"/>
        </w:rPr>
        <w:footnoteRef/>
      </w:r>
      <w:r>
        <w:rPr>
          <w:sz w:val="17"/>
          <w:szCs w:val="17"/>
        </w:rPr>
        <w:t>Kilde: Oljedirektoratet. Bruttoinntekten baseres på forutsetningen om 70 USD per fat, 5,5 NOK/USD.</w:t>
      </w:r>
    </w:p>
  </w:footnote>
  <w:footnote w:id="5">
    <w:p w:rsidR="00624D98" w:rsidRDefault="00880768">
      <w:pPr>
        <w:pStyle w:val="Fotnotetekst"/>
      </w:pPr>
      <w:r>
        <w:rPr>
          <w:vertAlign w:val="superscript"/>
        </w:rPr>
        <w:footnoteRef/>
      </w:r>
      <w:r>
        <w:rPr>
          <w:sz w:val="17"/>
          <w:szCs w:val="17"/>
        </w:rPr>
        <w:t>Alle tal for utslepp til luft er frå SSBs førebelse tal for utslepp til luft for 2017.</w:t>
      </w:r>
    </w:p>
  </w:footnote>
  <w:footnote w:id="6">
    <w:p w:rsidR="00624D98" w:rsidRDefault="00880768">
      <w:pPr>
        <w:pStyle w:val="Fotnotetekst"/>
      </w:pPr>
      <w:r>
        <w:rPr>
          <w:vertAlign w:val="superscript"/>
        </w:rPr>
        <w:footnoteRef/>
      </w:r>
      <w:r>
        <w:rPr>
          <w:sz w:val="17"/>
          <w:szCs w:val="17"/>
        </w:rPr>
        <w:t xml:space="preserve">http://www.npd.no/Publikasjoner/Ressursrapporter/2016/Kapittel-5/ </w:t>
      </w:r>
    </w:p>
  </w:footnote>
  <w:footnote w:id="7">
    <w:p w:rsidR="00624D98" w:rsidRPr="007F7396" w:rsidRDefault="00880768">
      <w:pPr>
        <w:pStyle w:val="Fotnotetekst"/>
        <w:rPr>
          <w:lang w:val="en-US"/>
        </w:rPr>
      </w:pPr>
      <w:r>
        <w:rPr>
          <w:vertAlign w:val="superscript"/>
        </w:rPr>
        <w:footnoteRef/>
      </w:r>
      <w:proofErr w:type="gramStart"/>
      <w:r w:rsidRPr="004C1F72">
        <w:rPr>
          <w:sz w:val="17"/>
          <w:szCs w:val="17"/>
          <w:lang w:val="en-US"/>
        </w:rPr>
        <w:t>IHS Markit (2017).</w:t>
      </w:r>
      <w:proofErr w:type="gramEnd"/>
      <w:r w:rsidRPr="004C1F72">
        <w:rPr>
          <w:sz w:val="17"/>
          <w:szCs w:val="17"/>
          <w:lang w:val="en-US"/>
        </w:rPr>
        <w:t xml:space="preserve"> Cost and Technology – Industry Trends, August 2017.</w:t>
      </w:r>
    </w:p>
  </w:footnote>
  <w:footnote w:id="8">
    <w:p w:rsidR="00624D98" w:rsidRPr="007F7396" w:rsidRDefault="00880768">
      <w:pPr>
        <w:pStyle w:val="Fotnotetekst"/>
        <w:rPr>
          <w:lang w:val="en-US"/>
        </w:rPr>
      </w:pPr>
      <w:r>
        <w:rPr>
          <w:vertAlign w:val="superscript"/>
        </w:rPr>
        <w:footnoteRef/>
      </w:r>
      <w:proofErr w:type="gramStart"/>
      <w:r w:rsidRPr="004C1F72">
        <w:rPr>
          <w:sz w:val="17"/>
          <w:szCs w:val="17"/>
          <w:lang w:val="en-US"/>
        </w:rPr>
        <w:t>EY (2018).</w:t>
      </w:r>
      <w:proofErr w:type="gramEnd"/>
      <w:r w:rsidRPr="004C1F72">
        <w:rPr>
          <w:sz w:val="17"/>
          <w:szCs w:val="17"/>
          <w:lang w:val="en-US"/>
        </w:rPr>
        <w:t xml:space="preserve"> Global oil and gas transactions review 2017.</w:t>
      </w:r>
    </w:p>
  </w:footnote>
  <w:footnote w:id="9">
    <w:p w:rsidR="00624D98" w:rsidRDefault="00880768">
      <w:pPr>
        <w:pStyle w:val="Fotnotetekst"/>
      </w:pPr>
      <w:r>
        <w:rPr>
          <w:vertAlign w:val="superscript"/>
        </w:rPr>
        <w:footnoteRef/>
      </w:r>
      <w:r>
        <w:rPr>
          <w:sz w:val="17"/>
          <w:szCs w:val="17"/>
        </w:rPr>
        <w:t xml:space="preserve">SSB. Rapporter Rapportar 2018-18. Ringvirkninger av petroleumsnæringen i norsk økonomi. </w:t>
      </w:r>
    </w:p>
  </w:footnote>
  <w:footnote w:id="10">
    <w:p w:rsidR="00624D98" w:rsidRDefault="00880768">
      <w:pPr>
        <w:pStyle w:val="Fotnotetekst"/>
      </w:pPr>
      <w:r>
        <w:rPr>
          <w:vertAlign w:val="superscript"/>
        </w:rPr>
        <w:footnoteRef/>
      </w:r>
      <w:r>
        <w:rPr>
          <w:sz w:val="17"/>
          <w:szCs w:val="17"/>
        </w:rPr>
        <w:t>Samfunns- og næringslivsforsking (2018). SNF-rapport nr. 01/18 - Sysselsetting i petroleumsvirksomhet 2017.</w:t>
      </w:r>
    </w:p>
  </w:footnote>
  <w:footnote w:id="11">
    <w:p w:rsidR="00624D98" w:rsidRPr="007F7396" w:rsidRDefault="00880768">
      <w:pPr>
        <w:pStyle w:val="Fotnotetekst"/>
        <w:rPr>
          <w:lang w:val="en-US"/>
        </w:rPr>
      </w:pPr>
      <w:r>
        <w:rPr>
          <w:vertAlign w:val="superscript"/>
        </w:rPr>
        <w:footnoteRef/>
      </w:r>
      <w:r>
        <w:rPr>
          <w:sz w:val="17"/>
          <w:szCs w:val="17"/>
        </w:rPr>
        <w:t xml:space="preserve">Bjørnland H., Thorsrud L.A. og Torvik R. (2018). </w:t>
      </w:r>
      <w:r w:rsidRPr="004C1F72">
        <w:rPr>
          <w:sz w:val="17"/>
          <w:szCs w:val="17"/>
          <w:lang w:val="en-US"/>
        </w:rPr>
        <w:t>«Dutch disease dynamics reconsidered».</w:t>
      </w:r>
    </w:p>
  </w:footnote>
  <w:footnote w:id="12">
    <w:p w:rsidR="00624D98" w:rsidRDefault="00880768">
      <w:pPr>
        <w:pStyle w:val="Fotnotetekst"/>
      </w:pPr>
      <w:r>
        <w:rPr>
          <w:vertAlign w:val="superscript"/>
        </w:rPr>
        <w:footnoteRef/>
      </w:r>
      <w:r w:rsidRPr="004C1F72">
        <w:rPr>
          <w:sz w:val="17"/>
          <w:szCs w:val="17"/>
          <w:lang w:val="en-US"/>
        </w:rPr>
        <w:t xml:space="preserve">Rystad Energy (2017). </w:t>
      </w:r>
      <w:r>
        <w:rPr>
          <w:sz w:val="17"/>
          <w:szCs w:val="17"/>
        </w:rPr>
        <w:t>Internasjonal omsetning fra norske oljeserviceselskaper.</w:t>
      </w:r>
    </w:p>
  </w:footnote>
  <w:footnote w:id="13">
    <w:p w:rsidR="00624D98" w:rsidRPr="007F7396" w:rsidRDefault="00880768">
      <w:pPr>
        <w:pStyle w:val="Fotnotetekst"/>
        <w:rPr>
          <w:lang w:val="en-US"/>
        </w:rPr>
      </w:pPr>
      <w:r>
        <w:rPr>
          <w:vertAlign w:val="superscript"/>
        </w:rPr>
        <w:footnoteRef/>
      </w:r>
      <w:r w:rsidRPr="004C1F72">
        <w:rPr>
          <w:sz w:val="17"/>
          <w:szCs w:val="17"/>
          <w:lang w:val="en-US"/>
        </w:rPr>
        <w:t xml:space="preserve"> Rystad Energy (2017). Oil Service Report Q3 2017.</w:t>
      </w:r>
    </w:p>
  </w:footnote>
  <w:footnote w:id="14">
    <w:p w:rsidR="00624D98" w:rsidRDefault="00880768">
      <w:pPr>
        <w:pStyle w:val="Fotnotetekst"/>
      </w:pPr>
      <w:r>
        <w:rPr>
          <w:vertAlign w:val="superscript"/>
        </w:rPr>
        <w:footnoteRef/>
      </w:r>
      <w:r>
        <w:rPr>
          <w:sz w:val="17"/>
          <w:szCs w:val="17"/>
        </w:rPr>
        <w:t>Rederiforbundet (2018). Tenk hav – konjunkturrapport 2018.</w:t>
      </w:r>
    </w:p>
  </w:footnote>
  <w:footnote w:id="15">
    <w:p w:rsidR="00624D98" w:rsidRDefault="00880768">
      <w:pPr>
        <w:pStyle w:val="Fotnotetekst"/>
      </w:pPr>
      <w:r>
        <w:rPr>
          <w:vertAlign w:val="superscript"/>
        </w:rPr>
        <w:footnoteRef/>
      </w:r>
      <w:r>
        <w:rPr>
          <w:sz w:val="17"/>
          <w:szCs w:val="17"/>
        </w:rPr>
        <w:t>Ibid.</w:t>
      </w:r>
    </w:p>
  </w:footnote>
  <w:footnote w:id="16">
    <w:p w:rsidR="00624D98" w:rsidRDefault="00880768">
      <w:pPr>
        <w:pStyle w:val="Fotnotetekst"/>
      </w:pPr>
      <w:r>
        <w:rPr>
          <w:vertAlign w:val="superscript"/>
        </w:rPr>
        <w:footnoteRef/>
      </w:r>
      <w:r>
        <w:rPr>
          <w:sz w:val="17"/>
          <w:szCs w:val="17"/>
        </w:rPr>
        <w:t>Rederiforbundet (2018). Tenk hav – konjunkturrapport 2018.</w:t>
      </w:r>
    </w:p>
  </w:footnote>
  <w:footnote w:id="17">
    <w:p w:rsidR="00624D98" w:rsidRDefault="00880768">
      <w:pPr>
        <w:pStyle w:val="Fotnotetekst"/>
      </w:pPr>
      <w:r>
        <w:rPr>
          <w:vertAlign w:val="superscript"/>
        </w:rPr>
        <w:footnoteRef/>
      </w:r>
      <w:r>
        <w:rPr>
          <w:sz w:val="17"/>
          <w:szCs w:val="17"/>
        </w:rPr>
        <w:t>Rystad Energy (2017). Internasjonal omsetning fra norske oljeserviceselskaper.</w:t>
      </w:r>
    </w:p>
  </w:footnote>
  <w:footnote w:id="18">
    <w:p w:rsidR="00624D98" w:rsidRDefault="00880768">
      <w:pPr>
        <w:pStyle w:val="Fotnotetekst"/>
      </w:pPr>
      <w:r>
        <w:rPr>
          <w:vertAlign w:val="superscript"/>
        </w:rPr>
        <w:footnoteRef/>
      </w:r>
      <w:r>
        <w:rPr>
          <w:sz w:val="17"/>
          <w:szCs w:val="17"/>
        </w:rPr>
        <w:t>Rystad Energy (2017). Internasjonal omsetning frå norske oljeserviceselskaper.</w:t>
      </w:r>
    </w:p>
  </w:footnote>
  <w:footnote w:id="19">
    <w:p w:rsidR="00624D98" w:rsidRDefault="00880768">
      <w:pPr>
        <w:pStyle w:val="Fotnotetekst"/>
      </w:pPr>
      <w:r>
        <w:rPr>
          <w:vertAlign w:val="superscript"/>
        </w:rPr>
        <w:footnoteRef/>
      </w:r>
      <w:r>
        <w:rPr>
          <w:sz w:val="17"/>
          <w:szCs w:val="17"/>
        </w:rPr>
        <w:t>Forslag til tariffmodell frå 2019 – utforming av tariffer i transmisjonsnettet (http://www.statnett.no/Global/Dokumenter/Kraftsystemet/</w:t>
      </w:r>
      <w:proofErr w:type="gramStart"/>
      <w:r>
        <w:rPr>
          <w:sz w:val="17"/>
          <w:szCs w:val="17"/>
        </w:rPr>
        <w:t>Tarfiff%20og</w:t>
      </w:r>
      <w:proofErr w:type="gramEnd"/>
      <w:r>
        <w:rPr>
          <w:sz w:val="17"/>
          <w:szCs w:val="17"/>
        </w:rPr>
        <w:t xml:space="preserve">%20tilknytning/Rapport%20Statnett%20-%20Forslag%20til%20tariffmodell%20fra%202019%20-%20H%c3%b8ringsversjon.pdf)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68" w:rsidRDefault="00880768" w:rsidP="004C1F72">
    <w:pPr>
      <w:pStyle w:val="Overskrift1"/>
      <w:keepNext w:val="0"/>
      <w:numPr>
        <w:ilvl w:val="0"/>
        <w:numId w:val="0"/>
      </w:numPr>
      <w:spacing w:after="0" w:line="240" w:lineRule="atLeast"/>
      <w:jc w:val="left"/>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48458A"/>
    <w:lvl w:ilvl="0">
      <w:start w:val="1"/>
      <w:numFmt w:val="decimal"/>
      <w:lvlText w:val="%1."/>
      <w:lvlJc w:val="left"/>
      <w:pPr>
        <w:tabs>
          <w:tab w:val="num" w:pos="1492"/>
        </w:tabs>
        <w:ind w:left="1492" w:hanging="360"/>
      </w:pPr>
    </w:lvl>
  </w:abstractNum>
  <w:abstractNum w:abstractNumId="1">
    <w:nsid w:val="FFFFFF7D"/>
    <w:multiLevelType w:val="singleLevel"/>
    <w:tmpl w:val="AA4CC078"/>
    <w:lvl w:ilvl="0">
      <w:start w:val="1"/>
      <w:numFmt w:val="decimal"/>
      <w:lvlText w:val="%1."/>
      <w:lvlJc w:val="left"/>
      <w:pPr>
        <w:tabs>
          <w:tab w:val="num" w:pos="1209"/>
        </w:tabs>
        <w:ind w:left="1209" w:hanging="360"/>
      </w:pPr>
    </w:lvl>
  </w:abstractNum>
  <w:abstractNum w:abstractNumId="2">
    <w:nsid w:val="FFFFFF7E"/>
    <w:multiLevelType w:val="singleLevel"/>
    <w:tmpl w:val="5D784D80"/>
    <w:lvl w:ilvl="0">
      <w:start w:val="1"/>
      <w:numFmt w:val="decimal"/>
      <w:lvlText w:val="%1."/>
      <w:lvlJc w:val="left"/>
      <w:pPr>
        <w:tabs>
          <w:tab w:val="num" w:pos="926"/>
        </w:tabs>
        <w:ind w:left="926" w:hanging="360"/>
      </w:pPr>
    </w:lvl>
  </w:abstractNum>
  <w:abstractNum w:abstractNumId="3">
    <w:nsid w:val="FFFFFF7F"/>
    <w:multiLevelType w:val="singleLevel"/>
    <w:tmpl w:val="063CA71E"/>
    <w:lvl w:ilvl="0">
      <w:start w:val="1"/>
      <w:numFmt w:val="decimal"/>
      <w:lvlText w:val="%1."/>
      <w:lvlJc w:val="left"/>
      <w:pPr>
        <w:tabs>
          <w:tab w:val="num" w:pos="643"/>
        </w:tabs>
        <w:ind w:left="643" w:hanging="360"/>
      </w:pPr>
    </w:lvl>
  </w:abstractNum>
  <w:abstractNum w:abstractNumId="4">
    <w:nsid w:val="FFFFFF80"/>
    <w:multiLevelType w:val="singleLevel"/>
    <w:tmpl w:val="A55EAC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1B650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91667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62E0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BA79AC"/>
    <w:lvl w:ilvl="0">
      <w:start w:val="1"/>
      <w:numFmt w:val="decimal"/>
      <w:lvlText w:val="%1."/>
      <w:lvlJc w:val="left"/>
      <w:pPr>
        <w:tabs>
          <w:tab w:val="num" w:pos="360"/>
        </w:tabs>
        <w:ind w:left="360" w:hanging="360"/>
      </w:pPr>
    </w:lvl>
  </w:abstractNum>
  <w:abstractNum w:abstractNumId="9">
    <w:nsid w:val="FFFFFF89"/>
    <w:multiLevelType w:val="singleLevel"/>
    <w:tmpl w:val="608C5CD8"/>
    <w:lvl w:ilvl="0">
      <w:start w:val="1"/>
      <w:numFmt w:val="bullet"/>
      <w:lvlText w:val=""/>
      <w:lvlJc w:val="left"/>
      <w:pPr>
        <w:tabs>
          <w:tab w:val="num" w:pos="360"/>
        </w:tabs>
        <w:ind w:left="360" w:hanging="360"/>
      </w:pPr>
      <w:rPr>
        <w:rFonts w:ascii="Symbol" w:hAnsi="Symbol" w:hint="default"/>
      </w:rPr>
    </w:lvl>
  </w:abstractNum>
  <w:abstractNum w:abstractNumId="1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nsid w:val="04834802"/>
    <w:multiLevelType w:val="multilevel"/>
    <w:tmpl w:val="86DAF25C"/>
    <w:numStyleLink w:val="l-AlfaListeStil"/>
  </w:abstractNum>
  <w:abstractNum w:abstractNumId="13">
    <w:nsid w:val="0CF53A85"/>
    <w:multiLevelType w:val="singleLevel"/>
    <w:tmpl w:val="E53A92AE"/>
    <w:lvl w:ilvl="0">
      <w:start w:val="1"/>
      <w:numFmt w:val="bullet"/>
      <w:pStyle w:val="Punktmerketliste2"/>
      <w:lvlText w:val="*"/>
      <w:lvlJc w:val="left"/>
      <w:pPr>
        <w:tabs>
          <w:tab w:val="num" w:pos="800"/>
        </w:tabs>
        <w:ind w:left="800" w:hanging="400"/>
      </w:pPr>
    </w:lvl>
  </w:abstractNum>
  <w:abstractNum w:abstractNumId="14">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5">
    <w:nsid w:val="11FF2784"/>
    <w:multiLevelType w:val="multilevel"/>
    <w:tmpl w:val="E0965760"/>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6">
    <w:nsid w:val="1B9A1E94"/>
    <w:multiLevelType w:val="singleLevel"/>
    <w:tmpl w:val="A0D6DDB8"/>
    <w:lvl w:ilvl="0">
      <w:start w:val="1"/>
      <w:numFmt w:val="bullet"/>
      <w:pStyle w:val="Punktmerketliste3"/>
      <w:lvlText w:val="*"/>
      <w:lvlJc w:val="left"/>
      <w:pPr>
        <w:tabs>
          <w:tab w:val="num" w:pos="1200"/>
        </w:tabs>
        <w:ind w:left="1200" w:hanging="400"/>
      </w:pPr>
    </w:lvl>
  </w:abstractNum>
  <w:abstractNum w:abstractNumId="17">
    <w:nsid w:val="20AB6513"/>
    <w:multiLevelType w:val="singleLevel"/>
    <w:tmpl w:val="7E146D84"/>
    <w:lvl w:ilvl="0">
      <w:start w:val="1"/>
      <w:numFmt w:val="bullet"/>
      <w:pStyle w:val="Punktmerketliste4"/>
      <w:lvlText w:val="*"/>
      <w:lvlJc w:val="left"/>
      <w:pPr>
        <w:tabs>
          <w:tab w:val="num" w:pos="1600"/>
        </w:tabs>
        <w:ind w:left="1600" w:hanging="400"/>
      </w:pPr>
    </w:lvl>
  </w:abstractNum>
  <w:abstractNum w:abstractNumId="18">
    <w:nsid w:val="30487BC3"/>
    <w:multiLevelType w:val="singleLevel"/>
    <w:tmpl w:val="879A89E6"/>
    <w:lvl w:ilvl="0">
      <w:start w:val="1"/>
      <w:numFmt w:val="bullet"/>
      <w:pStyle w:val="Punktmerketliste"/>
      <w:lvlText w:val="*"/>
      <w:lvlJc w:val="left"/>
      <w:pPr>
        <w:tabs>
          <w:tab w:val="num" w:pos="400"/>
        </w:tabs>
        <w:ind w:left="400" w:hanging="400"/>
      </w:pPr>
    </w:lvl>
  </w:abstractNum>
  <w:abstractNum w:abstractNumId="19">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0">
    <w:nsid w:val="3D760B31"/>
    <w:multiLevelType w:val="singleLevel"/>
    <w:tmpl w:val="D3F87858"/>
    <w:lvl w:ilvl="0">
      <w:start w:val="1"/>
      <w:numFmt w:val="bullet"/>
      <w:pStyle w:val="Punktmerketliste5"/>
      <w:lvlText w:val="*"/>
      <w:lvlJc w:val="left"/>
      <w:pPr>
        <w:tabs>
          <w:tab w:val="num" w:pos="2000"/>
        </w:tabs>
        <w:ind w:left="2000" w:hanging="400"/>
      </w:pPr>
    </w:lvl>
  </w:abstractNum>
  <w:abstractNum w:abstractNumId="21">
    <w:nsid w:val="404D1609"/>
    <w:multiLevelType w:val="multilevel"/>
    <w:tmpl w:val="44BC5E9E"/>
    <w:lvl w:ilvl="0">
      <w:start w:val="1"/>
      <w:numFmt w:val="decimal"/>
      <w:lvlText w:val="%1"/>
      <w:lvlJc w:val="left"/>
      <w:pPr>
        <w:tabs>
          <w:tab w:val="num" w:pos="800"/>
        </w:tabs>
        <w:ind w:left="800" w:hanging="800"/>
      </w:pPr>
      <w:rPr>
        <w:rFonts w:cs="Times New Roman"/>
      </w:rPr>
    </w:lvl>
    <w:lvl w:ilvl="1">
      <w:start w:val="1"/>
      <w:numFmt w:val="decimal"/>
      <w:lvlText w:val="%1.%2"/>
      <w:lvlJc w:val="left"/>
      <w:pPr>
        <w:tabs>
          <w:tab w:val="num" w:pos="800"/>
        </w:tabs>
        <w:ind w:left="800" w:hanging="800"/>
      </w:pPr>
      <w:rPr>
        <w:rFonts w:cs="Times New Roman"/>
      </w:rPr>
    </w:lvl>
    <w:lvl w:ilvl="2">
      <w:start w:val="1"/>
      <w:numFmt w:val="decimal"/>
      <w:lvlText w:val="%1.%2.%3"/>
      <w:lvlJc w:val="left"/>
      <w:pPr>
        <w:tabs>
          <w:tab w:val="num" w:pos="800"/>
        </w:tabs>
        <w:ind w:left="800" w:hanging="800"/>
      </w:pPr>
      <w:rPr>
        <w:rFonts w:cs="Times New Roman"/>
      </w:rPr>
    </w:lvl>
    <w:lvl w:ilvl="3">
      <w:start w:val="1"/>
      <w:numFmt w:val="decimal"/>
      <w:lvlText w:val="%1.%2.%3.%4"/>
      <w:lvlJc w:val="left"/>
      <w:pPr>
        <w:tabs>
          <w:tab w:val="num" w:pos="800"/>
        </w:tabs>
        <w:ind w:left="800" w:hanging="800"/>
      </w:pPr>
      <w:rPr>
        <w:rFonts w:cs="Times New Roman"/>
      </w:rPr>
    </w:lvl>
    <w:lvl w:ilvl="4">
      <w:start w:val="1"/>
      <w:numFmt w:val="decimal"/>
      <w:lvlText w:val="%1.%2.%3.%4.%5"/>
      <w:lvlJc w:val="left"/>
      <w:pPr>
        <w:tabs>
          <w:tab w:val="num" w:pos="1200"/>
        </w:tabs>
        <w:ind w:left="1200" w:hanging="1200"/>
      </w:pPr>
      <w:rPr>
        <w:rFonts w:cs="Times New Roman"/>
      </w:rPr>
    </w:lvl>
    <w:lvl w:ilvl="5">
      <w:start w:val="1"/>
      <w:numFmt w:val="lowerLetter"/>
      <w:pStyle w:val="Overskrift6"/>
      <w:lvlText w:val="%6)"/>
      <w:lvlJc w:val="left"/>
      <w:pPr>
        <w:tabs>
          <w:tab w:val="num" w:pos="1152"/>
        </w:tabs>
        <w:ind w:left="1152" w:hanging="432"/>
      </w:pPr>
      <w:rPr>
        <w:rFonts w:cs="Times New Roman"/>
      </w:rPr>
    </w:lvl>
    <w:lvl w:ilvl="6">
      <w:start w:val="1"/>
      <w:numFmt w:val="lowerRoman"/>
      <w:pStyle w:val="Overskrift7"/>
      <w:lvlText w:val="%7)"/>
      <w:lvlJc w:val="right"/>
      <w:pPr>
        <w:tabs>
          <w:tab w:val="num" w:pos="1296"/>
        </w:tabs>
        <w:ind w:left="1296" w:hanging="288"/>
      </w:pPr>
      <w:rPr>
        <w:rFonts w:cs="Times New Roman"/>
      </w:rPr>
    </w:lvl>
    <w:lvl w:ilvl="7">
      <w:start w:val="1"/>
      <w:numFmt w:val="lowerLetter"/>
      <w:pStyle w:val="Overskrift8"/>
      <w:lvlText w:val="%8."/>
      <w:lvlJc w:val="left"/>
      <w:pPr>
        <w:tabs>
          <w:tab w:val="num" w:pos="1440"/>
        </w:tabs>
        <w:ind w:left="1440" w:hanging="432"/>
      </w:pPr>
      <w:rPr>
        <w:rFonts w:cs="Times New Roman"/>
      </w:rPr>
    </w:lvl>
    <w:lvl w:ilvl="8">
      <w:start w:val="1"/>
      <w:numFmt w:val="lowerRoman"/>
      <w:pStyle w:val="Overskrift9"/>
      <w:lvlText w:val="%9."/>
      <w:lvlJc w:val="right"/>
      <w:pPr>
        <w:tabs>
          <w:tab w:val="num" w:pos="1584"/>
        </w:tabs>
        <w:ind w:left="1584" w:hanging="144"/>
      </w:pPr>
      <w:rPr>
        <w:rFonts w:cs="Times New Roman"/>
      </w:rPr>
    </w:lvl>
  </w:abstractNum>
  <w:abstractNum w:abstractNumId="22">
    <w:nsid w:val="410814BA"/>
    <w:multiLevelType w:val="multilevel"/>
    <w:tmpl w:val="E0965760"/>
    <w:numStyleLink w:val="OverskrifterListeStil"/>
  </w:abstractNum>
  <w:abstractNum w:abstractNumId="23">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4">
    <w:nsid w:val="44F958B3"/>
    <w:multiLevelType w:val="multilevel"/>
    <w:tmpl w:val="F5D4913C"/>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5">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7">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8">
    <w:nsid w:val="62A6542F"/>
    <w:multiLevelType w:val="multilevel"/>
    <w:tmpl w:val="F5D4913C"/>
    <w:numStyleLink w:val="Rom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18"/>
  </w:num>
  <w:num w:numId="13">
    <w:abstractNumId w:val="13"/>
  </w:num>
  <w:num w:numId="14">
    <w:abstractNumId w:val="16"/>
  </w:num>
  <w:num w:numId="15">
    <w:abstractNumId w:val="17"/>
  </w:num>
  <w:num w:numId="16">
    <w:abstractNumId w:val="20"/>
  </w:num>
  <w:num w:numId="17">
    <w:abstractNumId w:val="26"/>
  </w:num>
  <w:num w:numId="18">
    <w:abstractNumId w:val="25"/>
  </w:num>
  <w:num w:numId="19">
    <w:abstractNumId w:val="23"/>
  </w:num>
  <w:num w:numId="20">
    <w:abstractNumId w:val="11"/>
  </w:num>
  <w:num w:numId="21">
    <w:abstractNumId w:val="19"/>
  </w:num>
  <w:num w:numId="22">
    <w:abstractNumId w:val="14"/>
  </w:num>
  <w:num w:numId="23">
    <w:abstractNumId w:val="15"/>
  </w:num>
  <w:num w:numId="24">
    <w:abstractNumId w:val="24"/>
  </w:num>
  <w:num w:numId="25">
    <w:abstractNumId w:val="27"/>
  </w:num>
  <w:num w:numId="26">
    <w:abstractNumId w:val="12"/>
  </w:num>
  <w:num w:numId="27">
    <w:abstractNumId w:val="28"/>
  </w:num>
  <w:num w:numId="28">
    <w:abstractNumId w:val="10"/>
  </w:num>
  <w:num w:numId="29">
    <w:abstractNumId w:val="22"/>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76F59"/>
    <w:rsid w:val="001E01CC"/>
    <w:rsid w:val="001F5BBE"/>
    <w:rsid w:val="002360C8"/>
    <w:rsid w:val="002B56BB"/>
    <w:rsid w:val="002F7289"/>
    <w:rsid w:val="0033115A"/>
    <w:rsid w:val="0034191D"/>
    <w:rsid w:val="003535A8"/>
    <w:rsid w:val="003D07F0"/>
    <w:rsid w:val="004C1F72"/>
    <w:rsid w:val="00524591"/>
    <w:rsid w:val="00532ECF"/>
    <w:rsid w:val="005A2B4F"/>
    <w:rsid w:val="005B600F"/>
    <w:rsid w:val="006004F2"/>
    <w:rsid w:val="0061751C"/>
    <w:rsid w:val="00624D98"/>
    <w:rsid w:val="00632734"/>
    <w:rsid w:val="0063539A"/>
    <w:rsid w:val="00676F59"/>
    <w:rsid w:val="007A7DAD"/>
    <w:rsid w:val="007F7396"/>
    <w:rsid w:val="00825E05"/>
    <w:rsid w:val="00833E14"/>
    <w:rsid w:val="0083591C"/>
    <w:rsid w:val="008374A0"/>
    <w:rsid w:val="00880768"/>
    <w:rsid w:val="00881DA0"/>
    <w:rsid w:val="008E6C94"/>
    <w:rsid w:val="009643E5"/>
    <w:rsid w:val="00AE48DA"/>
    <w:rsid w:val="00B351D6"/>
    <w:rsid w:val="00B45EF5"/>
    <w:rsid w:val="00B52901"/>
    <w:rsid w:val="00C005BF"/>
    <w:rsid w:val="00CC650B"/>
    <w:rsid w:val="00D43265"/>
    <w:rsid w:val="00D84971"/>
    <w:rsid w:val="00E809D4"/>
    <w:rsid w:val="00E914E0"/>
    <w:rsid w:val="00EC47F5"/>
    <w:rsid w:val="00EE09A1"/>
    <w:rsid w:val="00F7050B"/>
    <w:rsid w:val="00FA4E65"/>
    <w:rsid w:val="00FC4B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line number" w:unhideWhenUsed="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qFormat="1"/>
    <w:lsdException w:name="Default Paragraph Font" w:uiPriority="1"/>
    <w:lsdException w:name="Body Text" w:uiPriority="0"/>
    <w:lsdException w:name="Subtitle" w:semiHidden="0" w:uiPriority="0" w:qFormat="1"/>
    <w:lsdException w:name="Date" w:uiPriority="0"/>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676F59"/>
    <w:pPr>
      <w:spacing w:after="120" w:line="240" w:lineRule="auto"/>
    </w:pPr>
    <w:rPr>
      <w:rFonts w:ascii="Times" w:eastAsia="Batang" w:hAnsi="Times"/>
      <w:sz w:val="24"/>
      <w:szCs w:val="20"/>
    </w:rPr>
  </w:style>
  <w:style w:type="paragraph" w:styleId="Overskrift1">
    <w:name w:val="heading 1"/>
    <w:basedOn w:val="Normal"/>
    <w:next w:val="Normal"/>
    <w:link w:val="Overskrift1Tegn"/>
    <w:uiPriority w:val="9"/>
    <w:qFormat/>
    <w:rsid w:val="00676F59"/>
    <w:pPr>
      <w:keepNext/>
      <w:numPr>
        <w:numId w:val="29"/>
      </w:numPr>
      <w:spacing w:before="360" w:after="80"/>
      <w:jc w:val="center"/>
      <w:outlineLvl w:val="0"/>
    </w:pPr>
    <w:rPr>
      <w:rFonts w:ascii="Arial" w:hAnsi="Arial"/>
      <w:b/>
      <w:kern w:val="28"/>
      <w:sz w:val="32"/>
    </w:rPr>
  </w:style>
  <w:style w:type="paragraph" w:styleId="Overskrift2">
    <w:name w:val="heading 2"/>
    <w:basedOn w:val="Normal"/>
    <w:next w:val="Normal"/>
    <w:link w:val="Overskrift2Tegn"/>
    <w:uiPriority w:val="9"/>
    <w:qFormat/>
    <w:rsid w:val="00676F59"/>
    <w:pPr>
      <w:keepNext/>
      <w:numPr>
        <w:ilvl w:val="1"/>
        <w:numId w:val="29"/>
      </w:numPr>
      <w:spacing w:before="360" w:after="80"/>
      <w:outlineLvl w:val="1"/>
    </w:pPr>
    <w:rPr>
      <w:rFonts w:ascii="Arial" w:hAnsi="Arial"/>
      <w:b/>
      <w:sz w:val="26"/>
    </w:rPr>
  </w:style>
  <w:style w:type="paragraph" w:styleId="Overskrift3">
    <w:name w:val="heading 3"/>
    <w:basedOn w:val="Normal"/>
    <w:next w:val="Normal"/>
    <w:link w:val="Overskrift3Tegn"/>
    <w:uiPriority w:val="9"/>
    <w:qFormat/>
    <w:rsid w:val="00676F59"/>
    <w:pPr>
      <w:keepNext/>
      <w:numPr>
        <w:ilvl w:val="2"/>
        <w:numId w:val="29"/>
      </w:numPr>
      <w:spacing w:before="200" w:after="80"/>
      <w:outlineLvl w:val="2"/>
    </w:pPr>
    <w:rPr>
      <w:rFonts w:ascii="Arial" w:hAnsi="Arial"/>
      <w:b/>
    </w:rPr>
  </w:style>
  <w:style w:type="paragraph" w:styleId="Overskrift4">
    <w:name w:val="heading 4"/>
    <w:basedOn w:val="Normal"/>
    <w:next w:val="Normal"/>
    <w:link w:val="Overskrift4Tegn"/>
    <w:uiPriority w:val="9"/>
    <w:qFormat/>
    <w:rsid w:val="00676F59"/>
    <w:pPr>
      <w:keepNext/>
      <w:numPr>
        <w:ilvl w:val="3"/>
        <w:numId w:val="29"/>
      </w:numPr>
      <w:spacing w:before="120" w:after="80"/>
      <w:outlineLvl w:val="3"/>
    </w:pPr>
    <w:rPr>
      <w:rFonts w:ascii="Arial" w:hAnsi="Arial"/>
      <w:i/>
    </w:rPr>
  </w:style>
  <w:style w:type="paragraph" w:styleId="Overskrift5">
    <w:name w:val="heading 5"/>
    <w:basedOn w:val="Normal"/>
    <w:next w:val="Normal"/>
    <w:link w:val="Overskrift5Tegn"/>
    <w:uiPriority w:val="9"/>
    <w:qFormat/>
    <w:rsid w:val="00676F59"/>
    <w:pPr>
      <w:keepNext/>
      <w:numPr>
        <w:ilvl w:val="4"/>
        <w:numId w:val="29"/>
      </w:numPr>
      <w:spacing w:before="120" w:after="0" w:line="276" w:lineRule="auto"/>
      <w:outlineLvl w:val="4"/>
    </w:pPr>
    <w:rPr>
      <w:rFonts w:ascii="Arial" w:eastAsiaTheme="minorEastAsia" w:hAnsi="Arial"/>
      <w:i/>
      <w:szCs w:val="22"/>
    </w:rPr>
  </w:style>
  <w:style w:type="paragraph" w:styleId="Overskrift6">
    <w:name w:val="heading 6"/>
    <w:basedOn w:val="Normal"/>
    <w:next w:val="Normal"/>
    <w:link w:val="Overskrift6Tegn"/>
    <w:uiPriority w:val="9"/>
    <w:qFormat/>
    <w:rsid w:val="00676F59"/>
    <w:pPr>
      <w:numPr>
        <w:ilvl w:val="5"/>
        <w:numId w:val="11"/>
      </w:numPr>
      <w:spacing w:before="240" w:after="60"/>
      <w:outlineLvl w:val="5"/>
    </w:pPr>
    <w:rPr>
      <w:i/>
      <w:sz w:val="22"/>
    </w:rPr>
  </w:style>
  <w:style w:type="paragraph" w:styleId="Overskrift7">
    <w:name w:val="heading 7"/>
    <w:basedOn w:val="Normal"/>
    <w:next w:val="Normal"/>
    <w:link w:val="Overskrift7Tegn"/>
    <w:uiPriority w:val="9"/>
    <w:qFormat/>
    <w:rsid w:val="00676F59"/>
    <w:pPr>
      <w:numPr>
        <w:ilvl w:val="6"/>
        <w:numId w:val="11"/>
      </w:numPr>
      <w:spacing w:before="240" w:after="60"/>
      <w:outlineLvl w:val="6"/>
    </w:pPr>
    <w:rPr>
      <w:rFonts w:ascii="Arial" w:hAnsi="Arial"/>
      <w:sz w:val="20"/>
    </w:rPr>
  </w:style>
  <w:style w:type="paragraph" w:styleId="Overskrift8">
    <w:name w:val="heading 8"/>
    <w:basedOn w:val="Normal"/>
    <w:next w:val="Normal"/>
    <w:link w:val="Overskrift8Tegn"/>
    <w:uiPriority w:val="9"/>
    <w:qFormat/>
    <w:rsid w:val="00676F59"/>
    <w:pPr>
      <w:numPr>
        <w:ilvl w:val="7"/>
        <w:numId w:val="11"/>
      </w:numPr>
      <w:spacing w:before="240" w:after="60"/>
      <w:outlineLvl w:val="7"/>
    </w:pPr>
    <w:rPr>
      <w:rFonts w:ascii="Arial" w:hAnsi="Arial"/>
      <w:i/>
      <w:sz w:val="20"/>
    </w:rPr>
  </w:style>
  <w:style w:type="paragraph" w:styleId="Overskrift9">
    <w:name w:val="heading 9"/>
    <w:basedOn w:val="Normal"/>
    <w:next w:val="Normal"/>
    <w:link w:val="Overskrift9Tegn"/>
    <w:uiPriority w:val="9"/>
    <w:qFormat/>
    <w:rsid w:val="00676F59"/>
    <w:pPr>
      <w:numPr>
        <w:ilvl w:val="8"/>
        <w:numId w:val="11"/>
      </w:numPr>
      <w:spacing w:before="240"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676F59"/>
    <w:rPr>
      <w:rFonts w:ascii="Arial" w:eastAsia="Batang" w:hAnsi="Arial"/>
      <w:b/>
      <w:kern w:val="28"/>
      <w:sz w:val="32"/>
      <w:szCs w:val="20"/>
    </w:rPr>
  </w:style>
  <w:style w:type="character" w:customStyle="1" w:styleId="Overskrift2Tegn">
    <w:name w:val="Overskrift 2 Tegn"/>
    <w:basedOn w:val="Standardskriftforavsnitt"/>
    <w:link w:val="Overskrift2"/>
    <w:uiPriority w:val="9"/>
    <w:locked/>
    <w:rsid w:val="00676F59"/>
    <w:rPr>
      <w:rFonts w:ascii="Arial" w:eastAsia="Batang" w:hAnsi="Arial"/>
      <w:b/>
      <w:sz w:val="26"/>
      <w:szCs w:val="20"/>
    </w:rPr>
  </w:style>
  <w:style w:type="character" w:customStyle="1" w:styleId="Overskrift3Tegn">
    <w:name w:val="Overskrift 3 Tegn"/>
    <w:basedOn w:val="Standardskriftforavsnitt"/>
    <w:link w:val="Overskrift3"/>
    <w:uiPriority w:val="9"/>
    <w:locked/>
    <w:rsid w:val="00676F59"/>
    <w:rPr>
      <w:rFonts w:ascii="Arial" w:eastAsia="Batang" w:hAnsi="Arial"/>
      <w:b/>
      <w:sz w:val="24"/>
      <w:szCs w:val="20"/>
    </w:rPr>
  </w:style>
  <w:style w:type="character" w:customStyle="1" w:styleId="Overskrift4Tegn">
    <w:name w:val="Overskrift 4 Tegn"/>
    <w:basedOn w:val="Standardskriftforavsnitt"/>
    <w:link w:val="Overskrift4"/>
    <w:uiPriority w:val="9"/>
    <w:locked/>
    <w:rsid w:val="00676F59"/>
    <w:rPr>
      <w:rFonts w:ascii="Arial" w:eastAsia="Batang" w:hAnsi="Arial"/>
      <w:i/>
      <w:sz w:val="24"/>
      <w:szCs w:val="20"/>
    </w:rPr>
  </w:style>
  <w:style w:type="character" w:customStyle="1" w:styleId="Overskrift5Tegn">
    <w:name w:val="Overskrift 5 Tegn"/>
    <w:basedOn w:val="Standardskriftforavsnitt"/>
    <w:link w:val="Overskrift5"/>
    <w:uiPriority w:val="9"/>
    <w:locked/>
    <w:rsid w:val="00676F59"/>
    <w:rPr>
      <w:rFonts w:ascii="Arial" w:hAnsi="Arial"/>
      <w:i/>
      <w:sz w:val="24"/>
    </w:rPr>
  </w:style>
  <w:style w:type="character" w:customStyle="1" w:styleId="Overskrift6Tegn">
    <w:name w:val="Overskrift 6 Tegn"/>
    <w:basedOn w:val="Standardskriftforavsnitt"/>
    <w:link w:val="Overskrift6"/>
    <w:uiPriority w:val="9"/>
    <w:locked/>
    <w:rsid w:val="00676F59"/>
    <w:rPr>
      <w:rFonts w:ascii="Times" w:eastAsia="Batang" w:hAnsi="Times"/>
      <w:i/>
      <w:szCs w:val="20"/>
    </w:rPr>
  </w:style>
  <w:style w:type="character" w:customStyle="1" w:styleId="Overskrift7Tegn">
    <w:name w:val="Overskrift 7 Tegn"/>
    <w:basedOn w:val="Standardskriftforavsnitt"/>
    <w:link w:val="Overskrift7"/>
    <w:uiPriority w:val="9"/>
    <w:locked/>
    <w:rsid w:val="00676F59"/>
    <w:rPr>
      <w:rFonts w:ascii="Arial" w:eastAsia="Batang" w:hAnsi="Arial"/>
      <w:sz w:val="20"/>
      <w:szCs w:val="20"/>
    </w:rPr>
  </w:style>
  <w:style w:type="character" w:customStyle="1" w:styleId="Overskrift8Tegn">
    <w:name w:val="Overskrift 8 Tegn"/>
    <w:basedOn w:val="Standardskriftforavsnitt"/>
    <w:link w:val="Overskrift8"/>
    <w:uiPriority w:val="9"/>
    <w:locked/>
    <w:rsid w:val="00676F59"/>
    <w:rPr>
      <w:rFonts w:ascii="Arial" w:eastAsia="Batang" w:hAnsi="Arial"/>
      <w:i/>
      <w:sz w:val="20"/>
      <w:szCs w:val="20"/>
    </w:rPr>
  </w:style>
  <w:style w:type="character" w:customStyle="1" w:styleId="Overskrift9Tegn">
    <w:name w:val="Overskrift 9 Tegn"/>
    <w:basedOn w:val="Standardskriftforavsnitt"/>
    <w:link w:val="Overskrift9"/>
    <w:uiPriority w:val="9"/>
    <w:locked/>
    <w:rsid w:val="00676F59"/>
    <w:rPr>
      <w:rFonts w:ascii="Arial" w:eastAsia="Batang" w:hAnsi="Arial"/>
      <w:b/>
      <w:i/>
      <w:sz w:val="18"/>
      <w:szCs w:val="20"/>
    </w:rPr>
  </w:style>
  <w:style w:type="paragraph" w:styleId="Brdtekst">
    <w:name w:val="Body Text"/>
    <w:basedOn w:val="Normal"/>
    <w:link w:val="BrdtekstTegn"/>
    <w:uiPriority w:val="99"/>
    <w:rsid w:val="00676F59"/>
    <w:pPr>
      <w:spacing w:before="120"/>
    </w:pPr>
  </w:style>
  <w:style w:type="character" w:customStyle="1" w:styleId="BrdtekstTegn">
    <w:name w:val="Brødtekst Tegn"/>
    <w:basedOn w:val="Standardskriftforavsnitt"/>
    <w:link w:val="Brdtekst"/>
    <w:uiPriority w:val="99"/>
    <w:locked/>
    <w:rsid w:val="00676F59"/>
    <w:rPr>
      <w:rFonts w:ascii="Times" w:eastAsia="Batang" w:hAnsi="Times"/>
      <w:sz w:val="20"/>
    </w:rPr>
  </w:style>
  <w:style w:type="paragraph" w:styleId="Bunntekst">
    <w:name w:val="footer"/>
    <w:basedOn w:val="Normal"/>
    <w:link w:val="BunntekstTegn"/>
    <w:uiPriority w:val="99"/>
    <w:rsid w:val="00676F59"/>
    <w:pPr>
      <w:tabs>
        <w:tab w:val="center" w:pos="4153"/>
        <w:tab w:val="right" w:pos="8306"/>
      </w:tabs>
    </w:pPr>
    <w:rPr>
      <w:spacing w:val="4"/>
      <w:sz w:val="20"/>
    </w:rPr>
  </w:style>
  <w:style w:type="character" w:customStyle="1" w:styleId="BunntekstTegn">
    <w:name w:val="Bunntekst Tegn"/>
    <w:basedOn w:val="Standardskriftforavsnitt"/>
    <w:link w:val="Bunntekst"/>
    <w:uiPriority w:val="99"/>
    <w:locked/>
    <w:rsid w:val="00676F59"/>
    <w:rPr>
      <w:rFonts w:ascii="Times" w:eastAsia="Batang" w:hAnsi="Times"/>
      <w:spacing w:val="4"/>
      <w:sz w:val="20"/>
    </w:rPr>
  </w:style>
  <w:style w:type="paragraph" w:styleId="Dato">
    <w:name w:val="Date"/>
    <w:basedOn w:val="Normal"/>
    <w:next w:val="Normal"/>
    <w:link w:val="DatoTegn"/>
    <w:uiPriority w:val="99"/>
    <w:rsid w:val="00676F59"/>
  </w:style>
  <w:style w:type="character" w:customStyle="1" w:styleId="DatoTegn">
    <w:name w:val="Dato Tegn"/>
    <w:basedOn w:val="Standardskriftforavsnitt"/>
    <w:link w:val="Dato"/>
    <w:uiPriority w:val="99"/>
    <w:locked/>
    <w:rsid w:val="00676F59"/>
    <w:rPr>
      <w:rFonts w:ascii="Times" w:eastAsia="Batang" w:hAnsi="Times"/>
      <w:sz w:val="20"/>
    </w:rPr>
  </w:style>
  <w:style w:type="paragraph" w:styleId="Fotnotetekst">
    <w:name w:val="footnote text"/>
    <w:basedOn w:val="Normal"/>
    <w:link w:val="FotnotetekstTegn"/>
    <w:uiPriority w:val="99"/>
    <w:rsid w:val="00676F59"/>
    <w:rPr>
      <w:sz w:val="20"/>
    </w:rPr>
  </w:style>
  <w:style w:type="character" w:customStyle="1" w:styleId="FotnotetekstTegn">
    <w:name w:val="Fotnotetekst Tegn"/>
    <w:basedOn w:val="Standardskriftforavsnitt"/>
    <w:link w:val="Fotnotetekst"/>
    <w:uiPriority w:val="99"/>
    <w:locked/>
    <w:rsid w:val="00676F59"/>
    <w:rPr>
      <w:rFonts w:ascii="Times" w:eastAsia="Batang" w:hAnsi="Times"/>
      <w:sz w:val="20"/>
    </w:rPr>
  </w:style>
  <w:style w:type="paragraph" w:styleId="INNH1">
    <w:name w:val="toc 1"/>
    <w:basedOn w:val="Normal"/>
    <w:next w:val="Normal"/>
    <w:autoRedefine/>
    <w:uiPriority w:val="39"/>
    <w:rsid w:val="00676F59"/>
    <w:pPr>
      <w:tabs>
        <w:tab w:val="right" w:leader="dot" w:pos="8306"/>
      </w:tabs>
    </w:pPr>
  </w:style>
  <w:style w:type="paragraph" w:styleId="INNH2">
    <w:name w:val="toc 2"/>
    <w:basedOn w:val="Normal"/>
    <w:next w:val="Normal"/>
    <w:autoRedefine/>
    <w:uiPriority w:val="39"/>
    <w:rsid w:val="00676F59"/>
    <w:pPr>
      <w:tabs>
        <w:tab w:val="right" w:leader="dot" w:pos="8306"/>
      </w:tabs>
      <w:ind w:left="200"/>
    </w:pPr>
  </w:style>
  <w:style w:type="paragraph" w:styleId="INNH3">
    <w:name w:val="toc 3"/>
    <w:basedOn w:val="Normal"/>
    <w:next w:val="Normal"/>
    <w:autoRedefine/>
    <w:uiPriority w:val="39"/>
    <w:rsid w:val="00676F59"/>
    <w:pPr>
      <w:tabs>
        <w:tab w:val="right" w:leader="dot" w:pos="8306"/>
      </w:tabs>
      <w:ind w:left="400"/>
    </w:pPr>
  </w:style>
  <w:style w:type="paragraph" w:styleId="INNH4">
    <w:name w:val="toc 4"/>
    <w:basedOn w:val="Normal"/>
    <w:next w:val="Normal"/>
    <w:autoRedefine/>
    <w:uiPriority w:val="39"/>
    <w:rsid w:val="00676F59"/>
    <w:pPr>
      <w:tabs>
        <w:tab w:val="right" w:leader="dot" w:pos="8306"/>
      </w:tabs>
      <w:ind w:left="600"/>
    </w:pPr>
  </w:style>
  <w:style w:type="paragraph" w:styleId="INNH5">
    <w:name w:val="toc 5"/>
    <w:basedOn w:val="Normal"/>
    <w:next w:val="Normal"/>
    <w:autoRedefine/>
    <w:uiPriority w:val="39"/>
    <w:rsid w:val="00676F59"/>
    <w:pPr>
      <w:tabs>
        <w:tab w:val="right" w:leader="dot" w:pos="8306"/>
      </w:tabs>
      <w:ind w:left="800"/>
    </w:pPr>
  </w:style>
  <w:style w:type="paragraph" w:styleId="Liste">
    <w:name w:val="List"/>
    <w:basedOn w:val="Normal"/>
    <w:uiPriority w:val="99"/>
    <w:rsid w:val="00676F59"/>
    <w:pPr>
      <w:numPr>
        <w:numId w:val="25"/>
      </w:numPr>
      <w:contextualSpacing/>
    </w:pPr>
    <w:rPr>
      <w:rFonts w:ascii="Times New Roman" w:eastAsiaTheme="minorEastAsia" w:hAnsi="Times New Roman"/>
      <w:spacing w:val="4"/>
      <w:szCs w:val="22"/>
    </w:rPr>
  </w:style>
  <w:style w:type="paragraph" w:styleId="Liste2">
    <w:name w:val="List 2"/>
    <w:basedOn w:val="Normal"/>
    <w:uiPriority w:val="99"/>
    <w:rsid w:val="00676F59"/>
    <w:pPr>
      <w:numPr>
        <w:ilvl w:val="1"/>
        <w:numId w:val="25"/>
      </w:numPr>
      <w:spacing w:after="0" w:line="276" w:lineRule="auto"/>
    </w:pPr>
    <w:rPr>
      <w:rFonts w:ascii="Times New Roman" w:eastAsiaTheme="minorEastAsia" w:hAnsi="Times New Roman"/>
      <w:spacing w:val="4"/>
      <w:szCs w:val="22"/>
    </w:rPr>
  </w:style>
  <w:style w:type="paragraph" w:styleId="Liste3">
    <w:name w:val="List 3"/>
    <w:basedOn w:val="Normal"/>
    <w:uiPriority w:val="99"/>
    <w:rsid w:val="00676F59"/>
    <w:pPr>
      <w:numPr>
        <w:ilvl w:val="2"/>
        <w:numId w:val="25"/>
      </w:numPr>
      <w:spacing w:after="0" w:line="276" w:lineRule="auto"/>
    </w:pPr>
    <w:rPr>
      <w:rFonts w:ascii="Times New Roman" w:eastAsiaTheme="minorEastAsia" w:hAnsi="Times New Roman"/>
      <w:szCs w:val="22"/>
    </w:rPr>
  </w:style>
  <w:style w:type="paragraph" w:styleId="Liste4">
    <w:name w:val="List 4"/>
    <w:basedOn w:val="Normal"/>
    <w:uiPriority w:val="99"/>
    <w:rsid w:val="00676F59"/>
    <w:pPr>
      <w:numPr>
        <w:ilvl w:val="3"/>
        <w:numId w:val="25"/>
      </w:numPr>
      <w:spacing w:after="0" w:line="276" w:lineRule="auto"/>
    </w:pPr>
    <w:rPr>
      <w:rFonts w:ascii="Times New Roman" w:eastAsiaTheme="minorEastAsia" w:hAnsi="Times New Roman"/>
      <w:szCs w:val="22"/>
    </w:rPr>
  </w:style>
  <w:style w:type="paragraph" w:styleId="Liste5">
    <w:name w:val="List 5"/>
    <w:basedOn w:val="Normal"/>
    <w:uiPriority w:val="99"/>
    <w:rsid w:val="00676F59"/>
    <w:pPr>
      <w:numPr>
        <w:ilvl w:val="4"/>
        <w:numId w:val="25"/>
      </w:numPr>
      <w:spacing w:after="0" w:line="276" w:lineRule="auto"/>
    </w:pPr>
    <w:rPr>
      <w:rFonts w:ascii="Times New Roman" w:eastAsiaTheme="minorEastAsia" w:hAnsi="Times New Roman"/>
      <w:szCs w:val="22"/>
    </w:rPr>
  </w:style>
  <w:style w:type="paragraph" w:styleId="Merknadstekst">
    <w:name w:val="annotation text"/>
    <w:basedOn w:val="Normal"/>
    <w:link w:val="MerknadstekstTegn"/>
    <w:uiPriority w:val="99"/>
    <w:rsid w:val="00676F59"/>
    <w:rPr>
      <w:sz w:val="20"/>
    </w:rPr>
  </w:style>
  <w:style w:type="character" w:customStyle="1" w:styleId="MerknadstekstTegn">
    <w:name w:val="Merknadstekst Tegn"/>
    <w:basedOn w:val="Standardskriftforavsnitt"/>
    <w:link w:val="Merknadstekst"/>
    <w:uiPriority w:val="99"/>
    <w:locked/>
    <w:rsid w:val="00676F59"/>
    <w:rPr>
      <w:rFonts w:ascii="Times" w:eastAsia="Batang" w:hAnsi="Times"/>
      <w:sz w:val="20"/>
    </w:rPr>
  </w:style>
  <w:style w:type="paragraph" w:styleId="NormalWeb">
    <w:name w:val="Normal (Web)"/>
    <w:basedOn w:val="Normal"/>
    <w:uiPriority w:val="99"/>
    <w:unhideWhenUsed/>
    <w:rsid w:val="00676F59"/>
    <w:rPr>
      <w:szCs w:val="24"/>
    </w:rPr>
  </w:style>
  <w:style w:type="paragraph" w:styleId="Nummerertliste">
    <w:name w:val="List Number"/>
    <w:basedOn w:val="Normal"/>
    <w:uiPriority w:val="99"/>
    <w:rsid w:val="00676F59"/>
    <w:pPr>
      <w:numPr>
        <w:numId w:val="21"/>
      </w:numPr>
      <w:spacing w:after="0" w:line="276" w:lineRule="auto"/>
    </w:pPr>
  </w:style>
  <w:style w:type="paragraph" w:styleId="Nummerertliste2">
    <w:name w:val="List Number 2"/>
    <w:basedOn w:val="Normal"/>
    <w:uiPriority w:val="99"/>
    <w:rsid w:val="00676F59"/>
    <w:pPr>
      <w:numPr>
        <w:ilvl w:val="1"/>
        <w:numId w:val="21"/>
      </w:numPr>
      <w:spacing w:after="0"/>
    </w:pPr>
  </w:style>
  <w:style w:type="paragraph" w:styleId="Nummerertliste3">
    <w:name w:val="List Number 3"/>
    <w:basedOn w:val="Normal"/>
    <w:uiPriority w:val="99"/>
    <w:rsid w:val="00676F59"/>
    <w:pPr>
      <w:numPr>
        <w:ilvl w:val="2"/>
        <w:numId w:val="21"/>
      </w:numPr>
      <w:spacing w:after="0"/>
    </w:pPr>
  </w:style>
  <w:style w:type="paragraph" w:styleId="Nummerertliste4">
    <w:name w:val="List Number 4"/>
    <w:basedOn w:val="Normal"/>
    <w:uiPriority w:val="99"/>
    <w:rsid w:val="00676F59"/>
    <w:pPr>
      <w:numPr>
        <w:ilvl w:val="3"/>
        <w:numId w:val="21"/>
      </w:numPr>
      <w:spacing w:after="0"/>
    </w:pPr>
  </w:style>
  <w:style w:type="paragraph" w:styleId="Nummerertliste5">
    <w:name w:val="List Number 5"/>
    <w:basedOn w:val="Normal"/>
    <w:uiPriority w:val="99"/>
    <w:rsid w:val="00676F59"/>
    <w:pPr>
      <w:numPr>
        <w:ilvl w:val="4"/>
        <w:numId w:val="21"/>
      </w:numPr>
      <w:spacing w:after="0"/>
    </w:pPr>
  </w:style>
  <w:style w:type="paragraph" w:styleId="Punktmerketliste">
    <w:name w:val="List Bullet"/>
    <w:basedOn w:val="Normal"/>
    <w:autoRedefine/>
    <w:uiPriority w:val="99"/>
    <w:rsid w:val="00676F59"/>
    <w:pPr>
      <w:numPr>
        <w:numId w:val="12"/>
      </w:numPr>
      <w:spacing w:after="0"/>
    </w:pPr>
  </w:style>
  <w:style w:type="paragraph" w:styleId="Punktmerketliste2">
    <w:name w:val="List Bullet 2"/>
    <w:basedOn w:val="Normal"/>
    <w:uiPriority w:val="99"/>
    <w:rsid w:val="00676F59"/>
    <w:pPr>
      <w:numPr>
        <w:numId w:val="13"/>
      </w:numPr>
      <w:spacing w:after="0"/>
    </w:pPr>
  </w:style>
  <w:style w:type="paragraph" w:styleId="Punktmerketliste3">
    <w:name w:val="List Bullet 3"/>
    <w:basedOn w:val="Normal"/>
    <w:autoRedefine/>
    <w:uiPriority w:val="99"/>
    <w:rsid w:val="00676F59"/>
    <w:pPr>
      <w:numPr>
        <w:numId w:val="14"/>
      </w:numPr>
      <w:spacing w:after="0"/>
    </w:pPr>
  </w:style>
  <w:style w:type="paragraph" w:styleId="Punktmerketliste4">
    <w:name w:val="List Bullet 4"/>
    <w:basedOn w:val="Normal"/>
    <w:uiPriority w:val="99"/>
    <w:rsid w:val="00676F59"/>
    <w:pPr>
      <w:numPr>
        <w:numId w:val="15"/>
      </w:numPr>
      <w:spacing w:after="0"/>
    </w:pPr>
  </w:style>
  <w:style w:type="paragraph" w:styleId="Punktmerketliste5">
    <w:name w:val="List Bullet 5"/>
    <w:basedOn w:val="Normal"/>
    <w:uiPriority w:val="99"/>
    <w:rsid w:val="00676F59"/>
    <w:pPr>
      <w:numPr>
        <w:numId w:val="16"/>
      </w:numPr>
      <w:spacing w:after="0"/>
    </w:pPr>
  </w:style>
  <w:style w:type="paragraph" w:styleId="Rentekst">
    <w:name w:val="Plain Text"/>
    <w:basedOn w:val="Normal"/>
    <w:link w:val="RentekstTegn"/>
    <w:uiPriority w:val="99"/>
    <w:unhideWhenUsed/>
    <w:rsid w:val="00676F59"/>
    <w:rPr>
      <w:rFonts w:ascii="Courier New" w:hAnsi="Courier New" w:cs="Courier New"/>
      <w:sz w:val="20"/>
    </w:rPr>
  </w:style>
  <w:style w:type="character" w:customStyle="1" w:styleId="RentekstTegn">
    <w:name w:val="Ren tekst Tegn"/>
    <w:basedOn w:val="Standardskriftforavsnitt"/>
    <w:link w:val="Rentekst"/>
    <w:uiPriority w:val="99"/>
    <w:locked/>
    <w:rsid w:val="00676F59"/>
    <w:rPr>
      <w:rFonts w:ascii="Courier New" w:eastAsia="Batang" w:hAnsi="Courier New"/>
      <w:sz w:val="20"/>
    </w:rPr>
  </w:style>
  <w:style w:type="paragraph" w:customStyle="1" w:styleId="tblRad">
    <w:name w:val="tblRad"/>
    <w:rsid w:val="00676F59"/>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676F59"/>
  </w:style>
  <w:style w:type="paragraph" w:customStyle="1" w:styleId="tbl2LinjeSumBold">
    <w:name w:val="tbl2LinjeSumBold"/>
    <w:basedOn w:val="tblRad"/>
    <w:rsid w:val="00676F59"/>
    <w:rPr>
      <w:b/>
    </w:rPr>
  </w:style>
  <w:style w:type="paragraph" w:customStyle="1" w:styleId="tblDelsum1">
    <w:name w:val="tblDelsum1"/>
    <w:basedOn w:val="tblRad"/>
    <w:rsid w:val="00676F59"/>
    <w:rPr>
      <w:i/>
    </w:rPr>
  </w:style>
  <w:style w:type="paragraph" w:customStyle="1" w:styleId="tblDelsum1-Kapittel">
    <w:name w:val="tblDelsum1 - Kapittel"/>
    <w:basedOn w:val="tblDelsum1"/>
    <w:rsid w:val="00676F59"/>
    <w:pPr>
      <w:keepNext w:val="0"/>
    </w:pPr>
  </w:style>
  <w:style w:type="paragraph" w:customStyle="1" w:styleId="tblDelsum2">
    <w:name w:val="tblDelsum2"/>
    <w:basedOn w:val="tblRad"/>
    <w:rsid w:val="00676F59"/>
    <w:rPr>
      <w:b/>
      <w:i/>
    </w:rPr>
  </w:style>
  <w:style w:type="paragraph" w:customStyle="1" w:styleId="tblDelsum2-Kapittel">
    <w:name w:val="tblDelsum2 - Kapittel"/>
    <w:basedOn w:val="tblDelsum2"/>
    <w:rsid w:val="00676F59"/>
    <w:pPr>
      <w:keepNext w:val="0"/>
    </w:pPr>
  </w:style>
  <w:style w:type="paragraph" w:customStyle="1" w:styleId="tblTabelloverskrift">
    <w:name w:val="tblTabelloverskrift"/>
    <w:rsid w:val="00676F59"/>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676F59"/>
    <w:pPr>
      <w:spacing w:after="0"/>
      <w:jc w:val="right"/>
    </w:pPr>
    <w:rPr>
      <w:b w:val="0"/>
      <w:caps w:val="0"/>
      <w:sz w:val="16"/>
    </w:rPr>
  </w:style>
  <w:style w:type="paragraph" w:customStyle="1" w:styleId="tblKategoriOverskrift">
    <w:name w:val="tblKategoriOverskrift"/>
    <w:basedOn w:val="tblRad"/>
    <w:rsid w:val="00676F59"/>
    <w:pPr>
      <w:spacing w:before="120"/>
    </w:pPr>
    <w:rPr>
      <w:b/>
    </w:rPr>
  </w:style>
  <w:style w:type="paragraph" w:customStyle="1" w:styleId="tblKolonneoverskrift">
    <w:name w:val="tblKolonneoverskrift"/>
    <w:basedOn w:val="Normal"/>
    <w:rsid w:val="00676F59"/>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676F59"/>
    <w:pPr>
      <w:spacing w:after="360"/>
      <w:jc w:val="center"/>
    </w:pPr>
    <w:rPr>
      <w:b w:val="0"/>
      <w:caps w:val="0"/>
    </w:rPr>
  </w:style>
  <w:style w:type="paragraph" w:customStyle="1" w:styleId="tblKolonneoverskrift-Vedtak">
    <w:name w:val="tblKolonneoverskrift - Vedtak"/>
    <w:basedOn w:val="tblTabelloverskrift-Vedtak"/>
    <w:rsid w:val="00676F59"/>
    <w:pPr>
      <w:spacing w:after="0"/>
    </w:pPr>
  </w:style>
  <w:style w:type="paragraph" w:customStyle="1" w:styleId="tblOverskrift-Vedtak">
    <w:name w:val="tblOverskrift - Vedtak"/>
    <w:basedOn w:val="tblRad"/>
    <w:rsid w:val="00676F59"/>
    <w:pPr>
      <w:spacing w:before="360"/>
      <w:jc w:val="center"/>
    </w:pPr>
  </w:style>
  <w:style w:type="paragraph" w:customStyle="1" w:styleId="tblRadBold">
    <w:name w:val="tblRadBold"/>
    <w:basedOn w:val="tblRad"/>
    <w:rsid w:val="00676F59"/>
    <w:rPr>
      <w:b/>
    </w:rPr>
  </w:style>
  <w:style w:type="paragraph" w:customStyle="1" w:styleId="tblRadItalic">
    <w:name w:val="tblRadItalic"/>
    <w:basedOn w:val="tblRad"/>
    <w:rsid w:val="00676F59"/>
    <w:rPr>
      <w:i/>
    </w:rPr>
  </w:style>
  <w:style w:type="paragraph" w:customStyle="1" w:styleId="tblRadItalicSiste">
    <w:name w:val="tblRadItalicSiste"/>
    <w:basedOn w:val="tblRadItalic"/>
    <w:rsid w:val="00676F59"/>
  </w:style>
  <w:style w:type="paragraph" w:customStyle="1" w:styleId="tblRadMedLuft">
    <w:name w:val="tblRadMedLuft"/>
    <w:basedOn w:val="tblRad"/>
    <w:rsid w:val="00676F59"/>
    <w:pPr>
      <w:spacing w:before="120"/>
    </w:pPr>
  </w:style>
  <w:style w:type="paragraph" w:customStyle="1" w:styleId="tblRadMedLuftSiste">
    <w:name w:val="tblRadMedLuftSiste"/>
    <w:basedOn w:val="tblRadMedLuft"/>
    <w:rsid w:val="00676F59"/>
    <w:pPr>
      <w:spacing w:after="120"/>
    </w:pPr>
  </w:style>
  <w:style w:type="paragraph" w:customStyle="1" w:styleId="tblRadMedLuftSiste-Vedtak">
    <w:name w:val="tblRadMedLuftSiste - Vedtak"/>
    <w:basedOn w:val="tblRadMedLuftSiste"/>
    <w:rsid w:val="00676F59"/>
    <w:pPr>
      <w:keepNext w:val="0"/>
    </w:pPr>
  </w:style>
  <w:style w:type="paragraph" w:customStyle="1" w:styleId="tblRadSiste">
    <w:name w:val="tblRadSiste"/>
    <w:basedOn w:val="tblRad"/>
    <w:rsid w:val="00676F59"/>
  </w:style>
  <w:style w:type="paragraph" w:customStyle="1" w:styleId="tblSluttsum">
    <w:name w:val="tblSluttsum"/>
    <w:basedOn w:val="tblRad"/>
    <w:rsid w:val="00676F59"/>
    <w:pPr>
      <w:spacing w:before="120"/>
    </w:pPr>
    <w:rPr>
      <w:b/>
      <w:i/>
    </w:rPr>
  </w:style>
  <w:style w:type="paragraph" w:styleId="Topptekst">
    <w:name w:val="header"/>
    <w:basedOn w:val="Normal"/>
    <w:link w:val="TopptekstTegn"/>
    <w:uiPriority w:val="99"/>
    <w:rsid w:val="00676F59"/>
    <w:pPr>
      <w:tabs>
        <w:tab w:val="center" w:pos="4536"/>
        <w:tab w:val="right" w:pos="9072"/>
      </w:tabs>
    </w:pPr>
    <w:rPr>
      <w:sz w:val="20"/>
    </w:rPr>
  </w:style>
  <w:style w:type="character" w:customStyle="1" w:styleId="TopptekstTegn">
    <w:name w:val="Topptekst Tegn"/>
    <w:basedOn w:val="Standardskriftforavsnitt"/>
    <w:link w:val="Topptekst"/>
    <w:uiPriority w:val="99"/>
    <w:locked/>
    <w:rsid w:val="00676F59"/>
    <w:rPr>
      <w:rFonts w:ascii="Times" w:eastAsia="Batang" w:hAnsi="Times"/>
      <w:sz w:val="20"/>
    </w:rPr>
  </w:style>
  <w:style w:type="paragraph" w:styleId="Undertittel">
    <w:name w:val="Subtitle"/>
    <w:basedOn w:val="Normal"/>
    <w:next w:val="Normal"/>
    <w:link w:val="UndertittelTegn"/>
    <w:uiPriority w:val="11"/>
    <w:qFormat/>
    <w:rsid w:val="00676F59"/>
    <w:pPr>
      <w:keepNext/>
      <w:keepLines/>
      <w:spacing w:before="360" w:line="276" w:lineRule="auto"/>
    </w:pPr>
    <w:rPr>
      <w:rFonts w:ascii="Arial" w:eastAsiaTheme="minorEastAsia" w:hAnsi="Arial"/>
      <w:b/>
      <w:spacing w:val="4"/>
      <w:sz w:val="28"/>
      <w:szCs w:val="22"/>
    </w:rPr>
  </w:style>
  <w:style w:type="character" w:customStyle="1" w:styleId="UndertittelTegn">
    <w:name w:val="Undertittel Tegn"/>
    <w:basedOn w:val="Standardskriftforavsnitt"/>
    <w:link w:val="Undertittel"/>
    <w:uiPriority w:val="11"/>
    <w:locked/>
    <w:rsid w:val="00676F59"/>
    <w:rPr>
      <w:rFonts w:ascii="Arial" w:hAnsi="Arial"/>
      <w:b/>
      <w:spacing w:val="4"/>
      <w:sz w:val="28"/>
    </w:rPr>
  </w:style>
  <w:style w:type="paragraph" w:styleId="Avsenderadresse">
    <w:name w:val="envelope return"/>
    <w:basedOn w:val="Normal"/>
    <w:uiPriority w:val="99"/>
    <w:unhideWhenUsed/>
    <w:rsid w:val="00676F59"/>
    <w:pPr>
      <w:spacing w:after="0"/>
    </w:pPr>
    <w:rPr>
      <w:rFonts w:ascii="Cambria" w:eastAsiaTheme="minorEastAsia" w:hAnsi="Cambria"/>
      <w:sz w:val="20"/>
    </w:rPr>
  </w:style>
  <w:style w:type="paragraph" w:styleId="Bibliografi">
    <w:name w:val="Bibliography"/>
    <w:basedOn w:val="Normal"/>
    <w:next w:val="Normal"/>
    <w:uiPriority w:val="37"/>
    <w:unhideWhenUsed/>
    <w:rsid w:val="00676F59"/>
  </w:style>
  <w:style w:type="paragraph" w:styleId="Bildetekst">
    <w:name w:val="caption"/>
    <w:basedOn w:val="Normal"/>
    <w:next w:val="Normal"/>
    <w:uiPriority w:val="35"/>
    <w:unhideWhenUsed/>
    <w:qFormat/>
    <w:rsid w:val="00676F59"/>
    <w:pPr>
      <w:spacing w:after="200"/>
    </w:pPr>
    <w:rPr>
      <w:b/>
      <w:bCs/>
      <w:color w:val="4F81BD"/>
      <w:sz w:val="18"/>
      <w:szCs w:val="18"/>
    </w:rPr>
  </w:style>
  <w:style w:type="paragraph" w:styleId="Blokktekst">
    <w:name w:val="Block Text"/>
    <w:basedOn w:val="Normal"/>
    <w:uiPriority w:val="99"/>
    <w:unhideWhenUsed/>
    <w:rsid w:val="00676F5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heme="minorEastAsia" w:hAnsi="Calibri"/>
      <w:i/>
      <w:iCs/>
      <w:color w:val="4F81BD"/>
    </w:rPr>
  </w:style>
  <w:style w:type="paragraph" w:styleId="Bobletekst">
    <w:name w:val="Balloon Text"/>
    <w:basedOn w:val="Normal"/>
    <w:link w:val="BobletekstTegn"/>
    <w:uiPriority w:val="99"/>
    <w:unhideWhenUsed/>
    <w:rsid w:val="00676F59"/>
    <w:pPr>
      <w:spacing w:after="0"/>
    </w:pPr>
    <w:rPr>
      <w:rFonts w:ascii="Tahoma" w:hAnsi="Tahoma" w:cs="Tahoma"/>
      <w:sz w:val="16"/>
      <w:szCs w:val="16"/>
    </w:rPr>
  </w:style>
  <w:style w:type="character" w:customStyle="1" w:styleId="BobletekstTegn">
    <w:name w:val="Bobletekst Tegn"/>
    <w:basedOn w:val="Standardskriftforavsnitt"/>
    <w:link w:val="Bobletekst"/>
    <w:uiPriority w:val="99"/>
    <w:locked/>
    <w:rsid w:val="00676F59"/>
    <w:rPr>
      <w:rFonts w:ascii="Tahoma" w:eastAsia="Batang" w:hAnsi="Tahoma"/>
      <w:sz w:val="16"/>
    </w:rPr>
  </w:style>
  <w:style w:type="paragraph" w:styleId="Brdtekst-frsteinnrykk">
    <w:name w:val="Body Text First Indent"/>
    <w:basedOn w:val="Brdtekst"/>
    <w:link w:val="Brdtekst-frsteinnrykkTegn"/>
    <w:uiPriority w:val="99"/>
    <w:unhideWhenUsed/>
    <w:rsid w:val="00676F59"/>
    <w:pPr>
      <w:spacing w:before="0"/>
      <w:ind w:firstLine="360"/>
    </w:pPr>
  </w:style>
  <w:style w:type="character" w:customStyle="1" w:styleId="Brdtekst-frsteinnrykkTegn">
    <w:name w:val="Brødtekst - første innrykk Tegn"/>
    <w:basedOn w:val="BrdtekstTegn"/>
    <w:link w:val="Brdtekst-frsteinnrykk"/>
    <w:uiPriority w:val="99"/>
    <w:locked/>
    <w:rsid w:val="00676F59"/>
    <w:rPr>
      <w:rFonts w:ascii="Times" w:eastAsia="Batang" w:hAnsi="Times"/>
      <w:sz w:val="20"/>
    </w:rPr>
  </w:style>
  <w:style w:type="paragraph" w:styleId="Brdtekstinnrykk">
    <w:name w:val="Body Text Indent"/>
    <w:basedOn w:val="Normal"/>
    <w:link w:val="BrdtekstinnrykkTegn"/>
    <w:uiPriority w:val="99"/>
    <w:unhideWhenUsed/>
    <w:rsid w:val="00676F59"/>
    <w:pPr>
      <w:ind w:left="283"/>
    </w:pPr>
  </w:style>
  <w:style w:type="character" w:customStyle="1" w:styleId="BrdtekstinnrykkTegn">
    <w:name w:val="Brødtekstinnrykk Tegn"/>
    <w:basedOn w:val="Standardskriftforavsnitt"/>
    <w:link w:val="Brdtekstinnrykk"/>
    <w:uiPriority w:val="99"/>
    <w:locked/>
    <w:rsid w:val="00676F59"/>
    <w:rPr>
      <w:rFonts w:ascii="Times" w:eastAsia="Batang" w:hAnsi="Times"/>
      <w:sz w:val="20"/>
    </w:rPr>
  </w:style>
  <w:style w:type="paragraph" w:styleId="Brdtekst-frsteinnrykk2">
    <w:name w:val="Body Text First Indent 2"/>
    <w:basedOn w:val="Brdtekstinnrykk"/>
    <w:link w:val="Brdtekst-frsteinnrykk2Tegn"/>
    <w:uiPriority w:val="99"/>
    <w:unhideWhenUsed/>
    <w:rsid w:val="00676F59"/>
    <w:pPr>
      <w:ind w:left="360" w:firstLine="360"/>
    </w:pPr>
  </w:style>
  <w:style w:type="character" w:customStyle="1" w:styleId="Brdtekst-frsteinnrykk2Tegn">
    <w:name w:val="Brødtekst - første innrykk 2 Tegn"/>
    <w:basedOn w:val="BrdtekstinnrykkTegn"/>
    <w:link w:val="Brdtekst-frsteinnrykk2"/>
    <w:uiPriority w:val="99"/>
    <w:locked/>
    <w:rsid w:val="00676F59"/>
    <w:rPr>
      <w:rFonts w:ascii="Times" w:eastAsia="Batang" w:hAnsi="Times"/>
      <w:sz w:val="20"/>
    </w:rPr>
  </w:style>
  <w:style w:type="paragraph" w:styleId="Brdtekst2">
    <w:name w:val="Body Text 2"/>
    <w:basedOn w:val="Normal"/>
    <w:link w:val="Brdtekst2Tegn"/>
    <w:uiPriority w:val="99"/>
    <w:unhideWhenUsed/>
    <w:rsid w:val="00676F59"/>
    <w:pPr>
      <w:spacing w:line="480" w:lineRule="auto"/>
    </w:pPr>
  </w:style>
  <w:style w:type="character" w:customStyle="1" w:styleId="Brdtekst2Tegn">
    <w:name w:val="Brødtekst 2 Tegn"/>
    <w:basedOn w:val="Standardskriftforavsnitt"/>
    <w:link w:val="Brdtekst2"/>
    <w:uiPriority w:val="99"/>
    <w:locked/>
    <w:rsid w:val="00676F59"/>
    <w:rPr>
      <w:rFonts w:ascii="Times" w:eastAsia="Batang" w:hAnsi="Times"/>
      <w:sz w:val="20"/>
    </w:rPr>
  </w:style>
  <w:style w:type="paragraph" w:styleId="Brdtekst3">
    <w:name w:val="Body Text 3"/>
    <w:basedOn w:val="Normal"/>
    <w:link w:val="Brdtekst3Tegn"/>
    <w:uiPriority w:val="99"/>
    <w:unhideWhenUsed/>
    <w:rsid w:val="00676F59"/>
    <w:rPr>
      <w:sz w:val="16"/>
      <w:szCs w:val="16"/>
    </w:rPr>
  </w:style>
  <w:style w:type="character" w:customStyle="1" w:styleId="Brdtekst3Tegn">
    <w:name w:val="Brødtekst 3 Tegn"/>
    <w:basedOn w:val="Standardskriftforavsnitt"/>
    <w:link w:val="Brdtekst3"/>
    <w:uiPriority w:val="99"/>
    <w:locked/>
    <w:rsid w:val="00676F59"/>
    <w:rPr>
      <w:rFonts w:ascii="Times" w:eastAsia="Batang" w:hAnsi="Times"/>
      <w:sz w:val="16"/>
    </w:rPr>
  </w:style>
  <w:style w:type="paragraph" w:styleId="Brdtekstinnrykk2">
    <w:name w:val="Body Text Indent 2"/>
    <w:basedOn w:val="Normal"/>
    <w:link w:val="Brdtekstinnrykk2Tegn"/>
    <w:uiPriority w:val="99"/>
    <w:unhideWhenUsed/>
    <w:rsid w:val="00676F59"/>
    <w:pPr>
      <w:spacing w:line="480" w:lineRule="auto"/>
      <w:ind w:left="283"/>
    </w:pPr>
  </w:style>
  <w:style w:type="character" w:customStyle="1" w:styleId="Brdtekstinnrykk2Tegn">
    <w:name w:val="Brødtekstinnrykk 2 Tegn"/>
    <w:basedOn w:val="Standardskriftforavsnitt"/>
    <w:link w:val="Brdtekstinnrykk2"/>
    <w:uiPriority w:val="99"/>
    <w:locked/>
    <w:rsid w:val="00676F59"/>
    <w:rPr>
      <w:rFonts w:ascii="Times" w:eastAsia="Batang" w:hAnsi="Times"/>
      <w:sz w:val="20"/>
    </w:rPr>
  </w:style>
  <w:style w:type="paragraph" w:styleId="Brdtekstinnrykk3">
    <w:name w:val="Body Text Indent 3"/>
    <w:basedOn w:val="Normal"/>
    <w:link w:val="Brdtekstinnrykk3Tegn"/>
    <w:uiPriority w:val="99"/>
    <w:unhideWhenUsed/>
    <w:rsid w:val="00676F59"/>
    <w:pPr>
      <w:ind w:left="283"/>
    </w:pPr>
    <w:rPr>
      <w:sz w:val="16"/>
      <w:szCs w:val="16"/>
    </w:rPr>
  </w:style>
  <w:style w:type="character" w:customStyle="1" w:styleId="Brdtekstinnrykk3Tegn">
    <w:name w:val="Brødtekstinnrykk 3 Tegn"/>
    <w:basedOn w:val="Standardskriftforavsnitt"/>
    <w:link w:val="Brdtekstinnrykk3"/>
    <w:uiPriority w:val="99"/>
    <w:locked/>
    <w:rsid w:val="00676F59"/>
    <w:rPr>
      <w:rFonts w:ascii="Times" w:eastAsia="Batang" w:hAnsi="Times"/>
      <w:sz w:val="16"/>
    </w:rPr>
  </w:style>
  <w:style w:type="paragraph" w:styleId="Dokumentkart">
    <w:name w:val="Document Map"/>
    <w:basedOn w:val="Normal"/>
    <w:link w:val="DokumentkartTegn"/>
    <w:uiPriority w:val="99"/>
    <w:unhideWhenUsed/>
    <w:rsid w:val="00676F59"/>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locked/>
    <w:rsid w:val="00676F59"/>
    <w:rPr>
      <w:rFonts w:ascii="Tahoma" w:eastAsia="Batang" w:hAnsi="Tahoma"/>
      <w:sz w:val="16"/>
    </w:rPr>
  </w:style>
  <w:style w:type="paragraph" w:styleId="E-postsignatur">
    <w:name w:val="E-mail Signature"/>
    <w:basedOn w:val="Normal"/>
    <w:link w:val="E-postsignaturTegn"/>
    <w:uiPriority w:val="99"/>
    <w:unhideWhenUsed/>
    <w:rsid w:val="00676F59"/>
    <w:pPr>
      <w:spacing w:after="0"/>
    </w:pPr>
  </w:style>
  <w:style w:type="character" w:customStyle="1" w:styleId="E-postsignaturTegn">
    <w:name w:val="E-postsignatur Tegn"/>
    <w:basedOn w:val="Standardskriftforavsnitt"/>
    <w:link w:val="E-postsignatur"/>
    <w:uiPriority w:val="99"/>
    <w:locked/>
    <w:rsid w:val="00676F59"/>
    <w:rPr>
      <w:rFonts w:ascii="Times" w:eastAsia="Batang" w:hAnsi="Times"/>
      <w:sz w:val="20"/>
    </w:rPr>
  </w:style>
  <w:style w:type="paragraph" w:styleId="Figurliste">
    <w:name w:val="table of figures"/>
    <w:basedOn w:val="Normal"/>
    <w:next w:val="Normal"/>
    <w:uiPriority w:val="99"/>
    <w:unhideWhenUsed/>
    <w:rsid w:val="00676F59"/>
    <w:pPr>
      <w:spacing w:after="0"/>
    </w:pPr>
  </w:style>
  <w:style w:type="paragraph" w:styleId="Hilsen">
    <w:name w:val="Closing"/>
    <w:basedOn w:val="Normal"/>
    <w:link w:val="HilsenTegn"/>
    <w:uiPriority w:val="99"/>
    <w:unhideWhenUsed/>
    <w:rsid w:val="00676F59"/>
    <w:pPr>
      <w:spacing w:after="0"/>
      <w:ind w:left="4252"/>
    </w:pPr>
  </w:style>
  <w:style w:type="character" w:customStyle="1" w:styleId="HilsenTegn">
    <w:name w:val="Hilsen Tegn"/>
    <w:basedOn w:val="Standardskriftforavsnitt"/>
    <w:link w:val="Hilsen"/>
    <w:uiPriority w:val="99"/>
    <w:locked/>
    <w:rsid w:val="00676F59"/>
    <w:rPr>
      <w:rFonts w:ascii="Times" w:eastAsia="Batang" w:hAnsi="Times"/>
      <w:sz w:val="20"/>
    </w:rPr>
  </w:style>
  <w:style w:type="paragraph" w:styleId="HTML-adresse">
    <w:name w:val="HTML Address"/>
    <w:basedOn w:val="Normal"/>
    <w:link w:val="HTML-adresseTegn"/>
    <w:uiPriority w:val="99"/>
    <w:unhideWhenUsed/>
    <w:rsid w:val="00676F59"/>
    <w:pPr>
      <w:spacing w:after="0"/>
    </w:pPr>
    <w:rPr>
      <w:i/>
      <w:iCs/>
    </w:rPr>
  </w:style>
  <w:style w:type="character" w:customStyle="1" w:styleId="HTML-adresseTegn">
    <w:name w:val="HTML-adresse Tegn"/>
    <w:basedOn w:val="Standardskriftforavsnitt"/>
    <w:link w:val="HTML-adresse"/>
    <w:uiPriority w:val="99"/>
    <w:locked/>
    <w:rsid w:val="00676F59"/>
    <w:rPr>
      <w:rFonts w:ascii="Times" w:eastAsia="Batang" w:hAnsi="Times"/>
      <w:i/>
      <w:sz w:val="20"/>
    </w:rPr>
  </w:style>
  <w:style w:type="paragraph" w:styleId="HTML-forhndsformatert">
    <w:name w:val="HTML Preformatted"/>
    <w:basedOn w:val="Normal"/>
    <w:link w:val="HTML-forhndsformatertTegn"/>
    <w:uiPriority w:val="99"/>
    <w:unhideWhenUsed/>
    <w:rsid w:val="00676F59"/>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locked/>
    <w:rsid w:val="00676F59"/>
    <w:rPr>
      <w:rFonts w:ascii="Consolas" w:eastAsia="Batang" w:hAnsi="Consolas"/>
      <w:sz w:val="20"/>
    </w:rPr>
  </w:style>
  <w:style w:type="paragraph" w:styleId="Indeks1">
    <w:name w:val="index 1"/>
    <w:basedOn w:val="Normal"/>
    <w:next w:val="Normal"/>
    <w:autoRedefine/>
    <w:uiPriority w:val="99"/>
    <w:unhideWhenUsed/>
    <w:rsid w:val="00676F59"/>
    <w:pPr>
      <w:spacing w:after="0"/>
      <w:ind w:left="240" w:hanging="240"/>
    </w:pPr>
  </w:style>
  <w:style w:type="paragraph" w:styleId="Indeks2">
    <w:name w:val="index 2"/>
    <w:basedOn w:val="Normal"/>
    <w:next w:val="Normal"/>
    <w:autoRedefine/>
    <w:uiPriority w:val="99"/>
    <w:unhideWhenUsed/>
    <w:rsid w:val="00676F59"/>
    <w:pPr>
      <w:spacing w:after="0"/>
      <w:ind w:left="480" w:hanging="240"/>
    </w:pPr>
  </w:style>
  <w:style w:type="paragraph" w:styleId="Indeks3">
    <w:name w:val="index 3"/>
    <w:basedOn w:val="Normal"/>
    <w:next w:val="Normal"/>
    <w:autoRedefine/>
    <w:uiPriority w:val="99"/>
    <w:unhideWhenUsed/>
    <w:rsid w:val="00676F59"/>
    <w:pPr>
      <w:spacing w:after="0"/>
      <w:ind w:left="720" w:hanging="240"/>
    </w:pPr>
  </w:style>
  <w:style w:type="paragraph" w:styleId="Indeks4">
    <w:name w:val="index 4"/>
    <w:basedOn w:val="Normal"/>
    <w:next w:val="Normal"/>
    <w:autoRedefine/>
    <w:uiPriority w:val="99"/>
    <w:unhideWhenUsed/>
    <w:rsid w:val="00676F59"/>
    <w:pPr>
      <w:spacing w:after="0"/>
      <w:ind w:left="960" w:hanging="240"/>
    </w:pPr>
  </w:style>
  <w:style w:type="paragraph" w:styleId="Indeks5">
    <w:name w:val="index 5"/>
    <w:basedOn w:val="Normal"/>
    <w:next w:val="Normal"/>
    <w:autoRedefine/>
    <w:uiPriority w:val="99"/>
    <w:unhideWhenUsed/>
    <w:rsid w:val="00676F59"/>
    <w:pPr>
      <w:spacing w:after="0"/>
      <w:ind w:left="1200" w:hanging="240"/>
    </w:pPr>
  </w:style>
  <w:style w:type="paragraph" w:styleId="Indeks6">
    <w:name w:val="index 6"/>
    <w:basedOn w:val="Normal"/>
    <w:next w:val="Normal"/>
    <w:autoRedefine/>
    <w:uiPriority w:val="99"/>
    <w:unhideWhenUsed/>
    <w:rsid w:val="00676F59"/>
    <w:pPr>
      <w:spacing w:after="0"/>
      <w:ind w:left="1440" w:hanging="240"/>
    </w:pPr>
  </w:style>
  <w:style w:type="paragraph" w:styleId="Indeks7">
    <w:name w:val="index 7"/>
    <w:basedOn w:val="Normal"/>
    <w:next w:val="Normal"/>
    <w:autoRedefine/>
    <w:uiPriority w:val="99"/>
    <w:unhideWhenUsed/>
    <w:rsid w:val="00676F59"/>
    <w:pPr>
      <w:spacing w:after="0"/>
      <w:ind w:left="1680" w:hanging="240"/>
    </w:pPr>
  </w:style>
  <w:style w:type="paragraph" w:styleId="Indeks8">
    <w:name w:val="index 8"/>
    <w:basedOn w:val="Normal"/>
    <w:next w:val="Normal"/>
    <w:autoRedefine/>
    <w:uiPriority w:val="99"/>
    <w:unhideWhenUsed/>
    <w:rsid w:val="00676F59"/>
    <w:pPr>
      <w:spacing w:after="0"/>
      <w:ind w:left="1920" w:hanging="240"/>
    </w:pPr>
  </w:style>
  <w:style w:type="paragraph" w:styleId="Indeks9">
    <w:name w:val="index 9"/>
    <w:basedOn w:val="Normal"/>
    <w:next w:val="Normal"/>
    <w:autoRedefine/>
    <w:uiPriority w:val="99"/>
    <w:unhideWhenUsed/>
    <w:rsid w:val="00676F59"/>
    <w:pPr>
      <w:spacing w:after="0"/>
      <w:ind w:left="2160" w:hanging="240"/>
    </w:pPr>
  </w:style>
  <w:style w:type="paragraph" w:styleId="Ingenmellomrom">
    <w:name w:val="No Spacing"/>
    <w:uiPriority w:val="1"/>
    <w:qFormat/>
    <w:rsid w:val="00676F59"/>
    <w:pPr>
      <w:spacing w:after="0" w:line="240" w:lineRule="auto"/>
    </w:pPr>
    <w:rPr>
      <w:rFonts w:ascii="Times" w:eastAsia="Batang" w:hAnsi="Times"/>
      <w:sz w:val="24"/>
      <w:szCs w:val="20"/>
    </w:rPr>
  </w:style>
  <w:style w:type="paragraph" w:styleId="INNH6">
    <w:name w:val="toc 6"/>
    <w:basedOn w:val="Normal"/>
    <w:next w:val="Normal"/>
    <w:autoRedefine/>
    <w:uiPriority w:val="39"/>
    <w:unhideWhenUsed/>
    <w:rsid w:val="00676F59"/>
    <w:pPr>
      <w:spacing w:after="100"/>
      <w:ind w:left="1200"/>
    </w:pPr>
  </w:style>
  <w:style w:type="paragraph" w:styleId="INNH7">
    <w:name w:val="toc 7"/>
    <w:basedOn w:val="Normal"/>
    <w:next w:val="Normal"/>
    <w:autoRedefine/>
    <w:uiPriority w:val="39"/>
    <w:unhideWhenUsed/>
    <w:rsid w:val="00676F59"/>
    <w:pPr>
      <w:spacing w:after="100"/>
      <w:ind w:left="1440"/>
    </w:pPr>
  </w:style>
  <w:style w:type="paragraph" w:styleId="INNH8">
    <w:name w:val="toc 8"/>
    <w:basedOn w:val="Normal"/>
    <w:next w:val="Normal"/>
    <w:autoRedefine/>
    <w:uiPriority w:val="39"/>
    <w:unhideWhenUsed/>
    <w:rsid w:val="00676F59"/>
    <w:pPr>
      <w:spacing w:after="100"/>
      <w:ind w:left="1680"/>
    </w:pPr>
  </w:style>
  <w:style w:type="paragraph" w:styleId="INNH9">
    <w:name w:val="toc 9"/>
    <w:basedOn w:val="Normal"/>
    <w:next w:val="Normal"/>
    <w:autoRedefine/>
    <w:uiPriority w:val="39"/>
    <w:unhideWhenUsed/>
    <w:rsid w:val="00676F59"/>
    <w:pPr>
      <w:spacing w:after="100"/>
      <w:ind w:left="1920"/>
    </w:pPr>
  </w:style>
  <w:style w:type="paragraph" w:styleId="Innledendehilsen">
    <w:name w:val="Salutation"/>
    <w:basedOn w:val="Normal"/>
    <w:next w:val="Normal"/>
    <w:link w:val="InnledendehilsenTegn"/>
    <w:uiPriority w:val="99"/>
    <w:unhideWhenUsed/>
    <w:rsid w:val="00676F59"/>
  </w:style>
  <w:style w:type="character" w:customStyle="1" w:styleId="InnledendehilsenTegn">
    <w:name w:val="Innledende hilsen Tegn"/>
    <w:basedOn w:val="Standardskriftforavsnitt"/>
    <w:link w:val="Innledendehilsen"/>
    <w:uiPriority w:val="99"/>
    <w:locked/>
    <w:rsid w:val="00676F59"/>
    <w:rPr>
      <w:rFonts w:ascii="Times" w:eastAsia="Batang" w:hAnsi="Times"/>
      <w:sz w:val="20"/>
    </w:rPr>
  </w:style>
  <w:style w:type="paragraph" w:styleId="Kildeliste">
    <w:name w:val="table of authorities"/>
    <w:basedOn w:val="Normal"/>
    <w:next w:val="Normal"/>
    <w:uiPriority w:val="99"/>
    <w:unhideWhenUsed/>
    <w:rsid w:val="00676F59"/>
    <w:pPr>
      <w:spacing w:after="0"/>
      <w:ind w:left="240" w:hanging="240"/>
    </w:pPr>
  </w:style>
  <w:style w:type="paragraph" w:styleId="Kildelisteoverskrift">
    <w:name w:val="toa heading"/>
    <w:basedOn w:val="Normal"/>
    <w:next w:val="Normal"/>
    <w:uiPriority w:val="99"/>
    <w:unhideWhenUsed/>
    <w:rsid w:val="00676F59"/>
    <w:pPr>
      <w:spacing w:before="120"/>
    </w:pPr>
    <w:rPr>
      <w:rFonts w:ascii="Cambria" w:eastAsiaTheme="minorEastAsia" w:hAnsi="Cambria"/>
      <w:b/>
      <w:bCs/>
      <w:szCs w:val="24"/>
    </w:rPr>
  </w:style>
  <w:style w:type="paragraph" w:styleId="Kommentaremne">
    <w:name w:val="annotation subject"/>
    <w:basedOn w:val="Merknadstekst"/>
    <w:next w:val="Merknadstekst"/>
    <w:link w:val="KommentaremneTegn"/>
    <w:uiPriority w:val="99"/>
    <w:unhideWhenUsed/>
    <w:rsid w:val="00676F59"/>
    <w:rPr>
      <w:b/>
      <w:bCs/>
    </w:rPr>
  </w:style>
  <w:style w:type="character" w:customStyle="1" w:styleId="KommentaremneTegn">
    <w:name w:val="Kommentaremne Tegn"/>
    <w:basedOn w:val="MerknadstekstTegn"/>
    <w:link w:val="Kommentaremne"/>
    <w:uiPriority w:val="99"/>
    <w:locked/>
    <w:rsid w:val="00676F59"/>
    <w:rPr>
      <w:rFonts w:ascii="Times" w:eastAsia="Batang" w:hAnsi="Times"/>
      <w:b/>
      <w:sz w:val="20"/>
    </w:rPr>
  </w:style>
  <w:style w:type="paragraph" w:styleId="Konvoluttadresse">
    <w:name w:val="envelope address"/>
    <w:basedOn w:val="Normal"/>
    <w:uiPriority w:val="99"/>
    <w:unhideWhenUsed/>
    <w:rsid w:val="00676F59"/>
    <w:pPr>
      <w:framePr w:w="7920" w:h="1980" w:hRule="exact" w:hSpace="141" w:wrap="auto" w:hAnchor="page" w:xAlign="center" w:yAlign="bottom"/>
      <w:spacing w:after="0"/>
      <w:ind w:left="2880"/>
    </w:pPr>
    <w:rPr>
      <w:rFonts w:ascii="Cambria" w:eastAsiaTheme="minorEastAsia" w:hAnsi="Cambria"/>
      <w:szCs w:val="24"/>
    </w:rPr>
  </w:style>
  <w:style w:type="paragraph" w:styleId="Liste-forts">
    <w:name w:val="List Continue"/>
    <w:basedOn w:val="Normal"/>
    <w:uiPriority w:val="99"/>
    <w:unhideWhenUsed/>
    <w:rsid w:val="00676F59"/>
    <w:pPr>
      <w:ind w:left="283"/>
      <w:contextualSpacing/>
    </w:pPr>
  </w:style>
  <w:style w:type="paragraph" w:styleId="Liste-forts2">
    <w:name w:val="List Continue 2"/>
    <w:basedOn w:val="Normal"/>
    <w:uiPriority w:val="99"/>
    <w:unhideWhenUsed/>
    <w:rsid w:val="00676F59"/>
    <w:pPr>
      <w:ind w:left="566"/>
      <w:contextualSpacing/>
    </w:pPr>
  </w:style>
  <w:style w:type="paragraph" w:styleId="Liste-forts3">
    <w:name w:val="List Continue 3"/>
    <w:basedOn w:val="Normal"/>
    <w:uiPriority w:val="99"/>
    <w:unhideWhenUsed/>
    <w:rsid w:val="00676F59"/>
    <w:pPr>
      <w:ind w:left="849"/>
      <w:contextualSpacing/>
    </w:pPr>
  </w:style>
  <w:style w:type="paragraph" w:styleId="Liste-forts4">
    <w:name w:val="List Continue 4"/>
    <w:basedOn w:val="Normal"/>
    <w:uiPriority w:val="99"/>
    <w:unhideWhenUsed/>
    <w:rsid w:val="00676F59"/>
    <w:pPr>
      <w:ind w:left="1132"/>
      <w:contextualSpacing/>
    </w:pPr>
  </w:style>
  <w:style w:type="paragraph" w:styleId="Liste-forts5">
    <w:name w:val="List Continue 5"/>
    <w:basedOn w:val="Normal"/>
    <w:uiPriority w:val="99"/>
    <w:unhideWhenUsed/>
    <w:rsid w:val="00676F59"/>
    <w:pPr>
      <w:ind w:left="1415"/>
      <w:contextualSpacing/>
    </w:pPr>
  </w:style>
  <w:style w:type="paragraph" w:styleId="Listeavsnitt">
    <w:name w:val="List Paragraph"/>
    <w:basedOn w:val="Normal"/>
    <w:uiPriority w:val="34"/>
    <w:qFormat/>
    <w:rsid w:val="00676F59"/>
    <w:pPr>
      <w:spacing w:before="60" w:after="0" w:line="276" w:lineRule="auto"/>
      <w:ind w:left="397"/>
    </w:pPr>
    <w:rPr>
      <w:rFonts w:ascii="Times New Roman" w:eastAsiaTheme="minorEastAsia" w:hAnsi="Times New Roman"/>
      <w:szCs w:val="22"/>
    </w:rPr>
  </w:style>
  <w:style w:type="paragraph" w:styleId="Makrotekst">
    <w:name w:val="macro"/>
    <w:link w:val="MakrotekstTegn"/>
    <w:uiPriority w:val="99"/>
    <w:unhideWhenUsed/>
    <w:rsid w:val="00676F5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sz w:val="20"/>
      <w:szCs w:val="20"/>
    </w:rPr>
  </w:style>
  <w:style w:type="character" w:customStyle="1" w:styleId="MakrotekstTegn">
    <w:name w:val="Makrotekst Tegn"/>
    <w:basedOn w:val="Standardskriftforavsnitt"/>
    <w:link w:val="Makrotekst"/>
    <w:uiPriority w:val="99"/>
    <w:locked/>
    <w:rsid w:val="00676F59"/>
    <w:rPr>
      <w:rFonts w:ascii="Consolas" w:eastAsia="Batang" w:hAnsi="Consolas"/>
      <w:sz w:val="20"/>
    </w:rPr>
  </w:style>
  <w:style w:type="paragraph" w:styleId="Meldingshode">
    <w:name w:val="Message Header"/>
    <w:basedOn w:val="Normal"/>
    <w:link w:val="MeldingshodeTegn"/>
    <w:uiPriority w:val="99"/>
    <w:unhideWhenUsed/>
    <w:rsid w:val="00676F5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heme="minorEastAsia" w:hAnsi="Cambria"/>
      <w:szCs w:val="24"/>
    </w:rPr>
  </w:style>
  <w:style w:type="character" w:customStyle="1" w:styleId="MeldingshodeTegn">
    <w:name w:val="Meldingshode Tegn"/>
    <w:basedOn w:val="Standardskriftforavsnitt"/>
    <w:link w:val="Meldingshode"/>
    <w:uiPriority w:val="99"/>
    <w:locked/>
    <w:rsid w:val="00676F59"/>
    <w:rPr>
      <w:rFonts w:ascii="Cambria" w:hAnsi="Cambria"/>
      <w:sz w:val="24"/>
      <w:shd w:val="pct20" w:color="auto" w:fill="auto"/>
    </w:rPr>
  </w:style>
  <w:style w:type="paragraph" w:styleId="Notatoverskrift">
    <w:name w:val="Note Heading"/>
    <w:basedOn w:val="Normal"/>
    <w:next w:val="Normal"/>
    <w:link w:val="NotatoverskriftTegn"/>
    <w:uiPriority w:val="99"/>
    <w:unhideWhenUsed/>
    <w:rsid w:val="00676F59"/>
    <w:pPr>
      <w:spacing w:after="0"/>
    </w:pPr>
  </w:style>
  <w:style w:type="character" w:customStyle="1" w:styleId="NotatoverskriftTegn">
    <w:name w:val="Notatoverskrift Tegn"/>
    <w:basedOn w:val="Standardskriftforavsnitt"/>
    <w:link w:val="Notatoverskrift"/>
    <w:uiPriority w:val="99"/>
    <w:locked/>
    <w:rsid w:val="00676F59"/>
    <w:rPr>
      <w:rFonts w:ascii="Times" w:eastAsia="Batang" w:hAnsi="Times"/>
      <w:sz w:val="20"/>
    </w:rPr>
  </w:style>
  <w:style w:type="paragraph" w:styleId="Overskriftforinnholdsfortegnelse">
    <w:name w:val="TOC Heading"/>
    <w:basedOn w:val="Overskrift1"/>
    <w:next w:val="Normal"/>
    <w:uiPriority w:val="39"/>
    <w:unhideWhenUsed/>
    <w:qFormat/>
    <w:rsid w:val="00676F59"/>
    <w:pPr>
      <w:keepLines/>
      <w:numPr>
        <w:numId w:val="0"/>
      </w:numPr>
      <w:spacing w:before="480" w:after="0"/>
      <w:jc w:val="left"/>
      <w:outlineLvl w:val="9"/>
    </w:pPr>
    <w:rPr>
      <w:rFonts w:ascii="Cambria" w:eastAsiaTheme="minorEastAsia" w:hAnsi="Cambria"/>
      <w:bCs/>
      <w:color w:val="365F91"/>
      <w:kern w:val="0"/>
      <w:sz w:val="28"/>
      <w:szCs w:val="28"/>
    </w:rPr>
  </w:style>
  <w:style w:type="paragraph" w:styleId="Sluttnotetekst">
    <w:name w:val="endnote text"/>
    <w:basedOn w:val="Normal"/>
    <w:link w:val="SluttnotetekstTegn"/>
    <w:uiPriority w:val="99"/>
    <w:unhideWhenUsed/>
    <w:rsid w:val="00676F59"/>
    <w:pPr>
      <w:spacing w:after="0"/>
    </w:pPr>
    <w:rPr>
      <w:sz w:val="20"/>
    </w:rPr>
  </w:style>
  <w:style w:type="character" w:customStyle="1" w:styleId="SluttnotetekstTegn">
    <w:name w:val="Sluttnotetekst Tegn"/>
    <w:basedOn w:val="Standardskriftforavsnitt"/>
    <w:link w:val="Sluttnotetekst"/>
    <w:uiPriority w:val="99"/>
    <w:locked/>
    <w:rsid w:val="00676F59"/>
    <w:rPr>
      <w:rFonts w:ascii="Times" w:eastAsia="Batang" w:hAnsi="Times"/>
      <w:sz w:val="20"/>
    </w:rPr>
  </w:style>
  <w:style w:type="paragraph" w:styleId="Sterktsitat">
    <w:name w:val="Intense Quote"/>
    <w:basedOn w:val="Normal"/>
    <w:next w:val="Normal"/>
    <w:link w:val="SterktsitatTegn"/>
    <w:uiPriority w:val="30"/>
    <w:qFormat/>
    <w:rsid w:val="00676F59"/>
    <w:pPr>
      <w:pBdr>
        <w:bottom w:val="single" w:sz="4" w:space="4" w:color="4F81BD"/>
      </w:pBdr>
      <w:spacing w:before="200" w:after="280"/>
      <w:ind w:left="936" w:right="936"/>
    </w:pPr>
    <w:rPr>
      <w:b/>
      <w:bCs/>
      <w:i/>
      <w:iCs/>
      <w:color w:val="4F81BD"/>
    </w:rPr>
  </w:style>
  <w:style w:type="character" w:customStyle="1" w:styleId="SterktsitatTegn">
    <w:name w:val="Sterkt sitat Tegn"/>
    <w:basedOn w:val="Standardskriftforavsnitt"/>
    <w:link w:val="Sterktsitat"/>
    <w:uiPriority w:val="30"/>
    <w:locked/>
    <w:rsid w:val="00676F59"/>
    <w:rPr>
      <w:rFonts w:ascii="Times" w:eastAsia="Batang" w:hAnsi="Times"/>
      <w:b/>
      <w:i/>
      <w:color w:val="4F81BD"/>
      <w:sz w:val="20"/>
    </w:rPr>
  </w:style>
  <w:style w:type="paragraph" w:styleId="Stikkordregisteroverskrift">
    <w:name w:val="index heading"/>
    <w:basedOn w:val="Normal"/>
    <w:next w:val="Indeks1"/>
    <w:uiPriority w:val="99"/>
    <w:unhideWhenUsed/>
    <w:rsid w:val="00676F59"/>
    <w:rPr>
      <w:rFonts w:ascii="Cambria" w:eastAsiaTheme="minorEastAsia" w:hAnsi="Cambria"/>
      <w:b/>
      <w:bCs/>
    </w:rPr>
  </w:style>
  <w:style w:type="paragraph" w:styleId="Tittel">
    <w:name w:val="Title"/>
    <w:basedOn w:val="Normal"/>
    <w:next w:val="Normal"/>
    <w:link w:val="TittelTegn"/>
    <w:uiPriority w:val="10"/>
    <w:qFormat/>
    <w:rsid w:val="00676F59"/>
    <w:pPr>
      <w:pBdr>
        <w:bottom w:val="single" w:sz="8" w:space="4" w:color="4F81BD"/>
      </w:pBdr>
      <w:spacing w:after="300"/>
      <w:contextualSpacing/>
    </w:pPr>
    <w:rPr>
      <w:rFonts w:ascii="Cambria" w:eastAsiaTheme="minorEastAsia" w:hAnsi="Cambria"/>
      <w:color w:val="17365D"/>
      <w:spacing w:val="5"/>
      <w:kern w:val="28"/>
      <w:sz w:val="52"/>
      <w:szCs w:val="52"/>
    </w:rPr>
  </w:style>
  <w:style w:type="character" w:customStyle="1" w:styleId="TittelTegn">
    <w:name w:val="Tittel Tegn"/>
    <w:basedOn w:val="Standardskriftforavsnitt"/>
    <w:link w:val="Tittel"/>
    <w:uiPriority w:val="10"/>
    <w:locked/>
    <w:rsid w:val="00676F59"/>
    <w:rPr>
      <w:rFonts w:ascii="Cambria" w:hAnsi="Cambria"/>
      <w:color w:val="17365D"/>
      <w:spacing w:val="5"/>
      <w:kern w:val="28"/>
      <w:sz w:val="52"/>
    </w:rPr>
  </w:style>
  <w:style w:type="paragraph" w:styleId="Underskrift">
    <w:name w:val="Signature"/>
    <w:basedOn w:val="Normal"/>
    <w:link w:val="UnderskriftTegn"/>
    <w:uiPriority w:val="99"/>
    <w:unhideWhenUsed/>
    <w:rsid w:val="00676F59"/>
    <w:pPr>
      <w:spacing w:after="0"/>
      <w:ind w:left="4252"/>
    </w:pPr>
  </w:style>
  <w:style w:type="character" w:customStyle="1" w:styleId="UnderskriftTegn">
    <w:name w:val="Underskrift Tegn"/>
    <w:basedOn w:val="Standardskriftforavsnitt"/>
    <w:link w:val="Underskrift"/>
    <w:uiPriority w:val="99"/>
    <w:locked/>
    <w:rsid w:val="00676F59"/>
    <w:rPr>
      <w:rFonts w:ascii="Times" w:eastAsia="Batang" w:hAnsi="Times"/>
      <w:sz w:val="20"/>
    </w:rPr>
  </w:style>
  <w:style w:type="paragraph" w:styleId="Vanliginnrykk">
    <w:name w:val="Normal Indent"/>
    <w:basedOn w:val="Normal"/>
    <w:uiPriority w:val="99"/>
    <w:unhideWhenUsed/>
    <w:rsid w:val="00676F59"/>
    <w:pPr>
      <w:ind w:left="708"/>
    </w:pPr>
  </w:style>
  <w:style w:type="paragraph" w:customStyle="1" w:styleId="Figur">
    <w:name w:val="Figur"/>
    <w:basedOn w:val="Normal"/>
    <w:uiPriority w:val="99"/>
    <w:rsid w:val="00676F59"/>
    <w:pPr>
      <w:suppressAutoHyphens/>
      <w:spacing w:before="400" w:after="200" w:line="240" w:lineRule="exact"/>
      <w:jc w:val="center"/>
    </w:pPr>
    <w:rPr>
      <w:rFonts w:ascii="Times New Roman" w:eastAsiaTheme="minorEastAsia" w:hAnsi="Times New Roman"/>
      <w:b/>
      <w:bCs/>
      <w:color w:val="FF0000"/>
      <w:szCs w:val="22"/>
    </w:rPr>
  </w:style>
  <w:style w:type="paragraph" w:customStyle="1" w:styleId="Sammendrag">
    <w:name w:val="Sammendrag"/>
    <w:basedOn w:val="Overskrift1"/>
    <w:qFormat/>
    <w:rsid w:val="00676F59"/>
    <w:pPr>
      <w:numPr>
        <w:numId w:val="0"/>
      </w:numPr>
      <w:spacing w:line="276" w:lineRule="auto"/>
      <w:jc w:val="left"/>
    </w:pPr>
    <w:rPr>
      <w:rFonts w:eastAsiaTheme="minorEastAsia"/>
      <w:szCs w:val="22"/>
    </w:rPr>
  </w:style>
  <w:style w:type="paragraph" w:customStyle="1" w:styleId="TrykkeriMerknad">
    <w:name w:val="TrykkeriMerknad"/>
    <w:basedOn w:val="Normal"/>
    <w:qFormat/>
    <w:rsid w:val="00676F59"/>
    <w:pPr>
      <w:spacing w:before="60" w:line="276" w:lineRule="auto"/>
    </w:pPr>
    <w:rPr>
      <w:rFonts w:ascii="Arial" w:eastAsiaTheme="minorEastAsia" w:hAnsi="Arial"/>
      <w:color w:val="943634"/>
      <w:spacing w:val="4"/>
      <w:sz w:val="26"/>
      <w:szCs w:val="22"/>
    </w:rPr>
  </w:style>
  <w:style w:type="paragraph" w:customStyle="1" w:styleId="ForfatterMerknad">
    <w:name w:val="ForfatterMerknad"/>
    <w:basedOn w:val="Normal"/>
    <w:qFormat/>
    <w:rsid w:val="00676F59"/>
    <w:pPr>
      <w:shd w:val="clear" w:color="auto" w:fill="FFFF99"/>
      <w:spacing w:before="60"/>
    </w:pPr>
    <w:rPr>
      <w:rFonts w:ascii="Arial" w:eastAsiaTheme="minorEastAsia" w:hAnsi="Arial"/>
      <w:color w:val="632423"/>
      <w:spacing w:val="4"/>
      <w:sz w:val="26"/>
      <w:szCs w:val="22"/>
    </w:rPr>
  </w:style>
  <w:style w:type="paragraph" w:customStyle="1" w:styleId="tblRadItalicLuftOver">
    <w:name w:val="tblRadItalicLuftOver"/>
    <w:uiPriority w:val="99"/>
    <w:pPr>
      <w:keepNext/>
      <w:widowControl w:val="0"/>
      <w:autoSpaceDE w:val="0"/>
      <w:autoSpaceDN w:val="0"/>
      <w:adjustRightInd w:val="0"/>
      <w:spacing w:before="120" w:line="240" w:lineRule="auto"/>
    </w:pPr>
    <w:rPr>
      <w:rFonts w:ascii="Times New Roman" w:hAnsi="Times New Roman"/>
      <w:i/>
      <w:iCs/>
      <w:color w:val="000000"/>
      <w:w w:val="0"/>
      <w:sz w:val="18"/>
      <w:szCs w:val="18"/>
      <w:lang w:val="en-US"/>
    </w:rPr>
  </w:style>
  <w:style w:type="paragraph" w:styleId="Sitat">
    <w:name w:val="Quote"/>
    <w:basedOn w:val="Normal"/>
    <w:next w:val="Normal"/>
    <w:link w:val="SitatTegn"/>
    <w:uiPriority w:val="99"/>
    <w:qFormat/>
    <w:pPr>
      <w:widowControl w:val="0"/>
      <w:tabs>
        <w:tab w:val="left" w:pos="860"/>
      </w:tabs>
      <w:spacing w:before="200" w:after="160"/>
      <w:ind w:left="860" w:right="860"/>
      <w:jc w:val="center"/>
    </w:pPr>
    <w:rPr>
      <w:rFonts w:ascii="Times New Roman" w:hAnsi="Times New Roman"/>
      <w:i/>
      <w:iCs/>
      <w:color w:val="404040"/>
      <w:szCs w:val="24"/>
      <w:lang w:val="en-US"/>
    </w:rPr>
  </w:style>
  <w:style w:type="character" w:customStyle="1" w:styleId="SitatTegn">
    <w:name w:val="Sitat Tegn"/>
    <w:basedOn w:val="Standardskriftforavsnitt"/>
    <w:link w:val="Sitat"/>
    <w:uiPriority w:val="99"/>
    <w:locked/>
    <w:rPr>
      <w:rFonts w:ascii="Times New Roman" w:hAnsi="Times New Roman" w:cs="Times New Roman"/>
      <w:i/>
      <w:iCs/>
      <w:color w:val="000000"/>
      <w:sz w:val="20"/>
      <w:szCs w:val="20"/>
      <w:u w:val="none"/>
      <w:lang w:val="en-US" w:eastAsia="x-none"/>
    </w:rPr>
  </w:style>
  <w:style w:type="paragraph" w:styleId="Revisjon">
    <w:name w:val="Revision"/>
    <w:uiPriority w:val="99"/>
    <w:pPr>
      <w:widowControl w:val="0"/>
      <w:autoSpaceDE w:val="0"/>
      <w:autoSpaceDN w:val="0"/>
      <w:adjustRightInd w:val="0"/>
      <w:spacing w:line="240" w:lineRule="auto"/>
    </w:pPr>
    <w:rPr>
      <w:rFonts w:ascii="Times" w:hAnsi="Times" w:cs="Times"/>
      <w:color w:val="000000"/>
      <w:w w:val="0"/>
      <w:sz w:val="24"/>
      <w:szCs w:val="24"/>
      <w:lang w:val="en-US"/>
    </w:rPr>
  </w:style>
  <w:style w:type="paragraph" w:customStyle="1" w:styleId="Default">
    <w:name w:val="Default"/>
    <w:uiPriority w:val="99"/>
    <w:pPr>
      <w:widowControl w:val="0"/>
      <w:autoSpaceDE w:val="0"/>
      <w:autoSpaceDN w:val="0"/>
      <w:adjustRightInd w:val="0"/>
      <w:spacing w:after="120" w:line="240" w:lineRule="auto"/>
    </w:pPr>
    <w:rPr>
      <w:rFonts w:ascii="Arial" w:hAnsi="Arial" w:cs="Arial"/>
      <w:color w:val="000000"/>
      <w:w w:val="0"/>
      <w:sz w:val="24"/>
      <w:szCs w:val="24"/>
      <w:lang w:val="en-US"/>
    </w:rPr>
  </w:style>
  <w:style w:type="paragraph" w:customStyle="1" w:styleId="documentdescription">
    <w:name w:val="documentdescription"/>
    <w:uiPriority w:val="99"/>
    <w:pPr>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Talepunkt">
    <w:name w:val="Talepunkt"/>
    <w:uiPriority w:val="99"/>
    <w:pPr>
      <w:widowControl w:val="0"/>
      <w:tabs>
        <w:tab w:val="left" w:pos="720"/>
      </w:tabs>
      <w:autoSpaceDE w:val="0"/>
      <w:autoSpaceDN w:val="0"/>
      <w:adjustRightInd w:val="0"/>
      <w:spacing w:before="60" w:after="240" w:line="240" w:lineRule="auto"/>
      <w:ind w:left="720" w:hanging="360"/>
    </w:pPr>
    <w:rPr>
      <w:rFonts w:ascii="DepCentury Old Style" w:hAnsi="DepCentury Old Style" w:cs="DepCentury Old Style"/>
      <w:b/>
      <w:bCs/>
      <w:color w:val="000000"/>
      <w:w w:val="0"/>
      <w:sz w:val="24"/>
      <w:szCs w:val="24"/>
      <w:lang w:val="en-US"/>
    </w:rPr>
  </w:style>
  <w:style w:type="paragraph" w:customStyle="1" w:styleId="strtngta">
    <w:name w:val="strtngt_a"/>
    <w:uiPriority w:val="99"/>
    <w:pPr>
      <w:widowControl w:val="0"/>
      <w:autoSpaceDE w:val="0"/>
      <w:autoSpaceDN w:val="0"/>
      <w:adjustRightInd w:val="0"/>
      <w:spacing w:before="100" w:after="100" w:line="240" w:lineRule="auto"/>
    </w:pPr>
    <w:rPr>
      <w:rFonts w:ascii="Times New Roman" w:hAnsi="Times New Roman"/>
      <w:color w:val="000000"/>
      <w:w w:val="0"/>
      <w:sz w:val="24"/>
      <w:szCs w:val="24"/>
      <w:lang w:val="en-US"/>
    </w:rPr>
  </w:style>
  <w:style w:type="paragraph" w:customStyle="1" w:styleId="b-budkaptit-fagTOC">
    <w:name w:val="b-budkaptit-fagTOC"/>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76F59"/>
    <w:pPr>
      <w:keepNext/>
      <w:keepLines/>
      <w:spacing w:before="240" w:after="240" w:line="276" w:lineRule="auto"/>
    </w:pPr>
    <w:rPr>
      <w:rFonts w:ascii="Times New Roman" w:eastAsiaTheme="minorEastAsia" w:hAnsi="Times New Roman"/>
      <w:spacing w:val="4"/>
      <w:szCs w:val="22"/>
    </w:rPr>
  </w:style>
  <w:style w:type="paragraph" w:customStyle="1" w:styleId="a-konge-tit">
    <w:name w:val="a-konge-tit"/>
    <w:basedOn w:val="Normal"/>
    <w:next w:val="Normal"/>
    <w:rsid w:val="00676F59"/>
    <w:pPr>
      <w:keepNext/>
      <w:keepLines/>
      <w:spacing w:before="240" w:line="276" w:lineRule="auto"/>
      <w:jc w:val="center"/>
    </w:pPr>
    <w:rPr>
      <w:rFonts w:ascii="Times New Roman" w:eastAsiaTheme="minorEastAsia" w:hAnsi="Times New Roman"/>
      <w:spacing w:val="30"/>
      <w:szCs w:val="22"/>
    </w:rPr>
  </w:style>
  <w:style w:type="paragraph" w:customStyle="1" w:styleId="a-tilraar-dep">
    <w:name w:val="a-tilraar-dep"/>
    <w:basedOn w:val="Normal"/>
    <w:next w:val="Normal"/>
    <w:rsid w:val="00676F59"/>
    <w:pPr>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76F59"/>
    <w:pPr>
      <w:spacing w:before="240" w:line="276" w:lineRule="auto"/>
      <w:jc w:val="center"/>
    </w:pPr>
    <w:rPr>
      <w:rFonts w:ascii="Times New Roman" w:eastAsiaTheme="minorEastAsia" w:hAnsi="Times New Roman"/>
      <w:spacing w:val="30"/>
      <w:szCs w:val="22"/>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76F5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676F59"/>
    <w:pPr>
      <w:keepNext/>
      <w:spacing w:before="360" w:after="60"/>
      <w:jc w:val="center"/>
    </w:pPr>
    <w:rPr>
      <w:b/>
    </w:rPr>
  </w:style>
  <w:style w:type="paragraph" w:customStyle="1" w:styleId="a-vedtak-tekst">
    <w:name w:val="a-vedtak-tekst"/>
    <w:basedOn w:val="Normal"/>
    <w:next w:val="Normal"/>
    <w:rsid w:val="00676F5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basedOn w:val="a-vedtak-tit"/>
    <w:qFormat/>
    <w:rsid w:val="00676F59"/>
    <w:pPr>
      <w:spacing w:before="120"/>
    </w:pPr>
    <w:rPr>
      <w:b w:val="0"/>
      <w:sz w:val="24"/>
    </w:rPr>
  </w:style>
  <w:style w:type="paragraph" w:customStyle="1" w:styleId="a-vedtakkap-tit">
    <w:name w:val="a-vedtakkap-tit"/>
    <w:basedOn w:val="a-vedtak-tit"/>
    <w:qFormat/>
    <w:rsid w:val="00676F59"/>
    <w:pPr>
      <w:spacing w:before="120"/>
    </w:pPr>
    <w:rPr>
      <w:sz w:val="24"/>
    </w:rPr>
  </w:style>
  <w:style w:type="paragraph" w:customStyle="1" w:styleId="a-vedtak-tit">
    <w:name w:val="a-vedtak-tit"/>
    <w:basedOn w:val="Normal"/>
    <w:next w:val="Normal"/>
    <w:rsid w:val="00676F59"/>
    <w:pPr>
      <w:keepNext/>
      <w:jc w:val="center"/>
    </w:pPr>
    <w:rPr>
      <w:rFonts w:ascii="Arial" w:hAnsi="Arial"/>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76F59"/>
    <w:pPr>
      <w:tabs>
        <w:tab w:val="left" w:pos="284"/>
      </w:tabs>
      <w:spacing w:before="120"/>
      <w:contextualSpacing/>
    </w:pPr>
    <w:rPr>
      <w:sz w:val="20"/>
    </w:rPr>
  </w:style>
  <w:style w:type="paragraph" w:customStyle="1" w:styleId="tabell-tittel">
    <w:name w:val="tabell-tittel"/>
    <w:basedOn w:val="Normal"/>
    <w:next w:val="Normal"/>
    <w:rsid w:val="00676F59"/>
    <w:pPr>
      <w:keepNext/>
      <w:keepLines/>
      <w:numPr>
        <w:ilvl w:val="6"/>
        <w:numId w:val="29"/>
      </w:numPr>
      <w:spacing w:before="240" w:line="276" w:lineRule="auto"/>
    </w:pPr>
    <w:rPr>
      <w:rFonts w:ascii="Arial" w:eastAsiaTheme="minorEastAsia" w:hAnsi="Arial"/>
      <w:spacing w:val="4"/>
      <w:szCs w:val="22"/>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76F59"/>
    <w:pPr>
      <w:numPr>
        <w:ilvl w:val="5"/>
        <w:numId w:val="29"/>
      </w:numPr>
      <w:spacing w:line="276" w:lineRule="auto"/>
    </w:pPr>
    <w:rPr>
      <w:rFonts w:ascii="Arial" w:eastAsiaTheme="minorEastAsia" w:hAnsi="Arial"/>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76F59"/>
    <w:pPr>
      <w:keepNext/>
      <w:spacing w:before="240" w:after="60"/>
    </w:pPr>
    <w:rPr>
      <w:rFonts w:ascii="Arial" w:hAnsi="Arial"/>
      <w:b/>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76F59"/>
    <w:pPr>
      <w:keepNext/>
      <w:keepLines/>
      <w:spacing w:before="360" w:line="276" w:lineRule="auto"/>
      <w:ind w:left="1021" w:hanging="1021"/>
    </w:pPr>
    <w:rPr>
      <w:rFonts w:ascii="Arial" w:eastAsiaTheme="minorEastAsia" w:hAnsi="Arial"/>
      <w:b/>
      <w:szCs w:val="22"/>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76F59"/>
    <w:pPr>
      <w:keepNext/>
      <w:spacing w:before="360" w:after="80"/>
      <w:jc w:val="center"/>
    </w:pPr>
    <w:rPr>
      <w:rFonts w:ascii="Arial" w:hAnsi="Arial"/>
      <w:b/>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76F59"/>
    <w:pPr>
      <w:keepNext/>
      <w:spacing w:before="360" w:after="80"/>
      <w:jc w:val="center"/>
    </w:pPr>
    <w:rPr>
      <w:rFonts w:ascii="Arial" w:hAnsi="Arial"/>
      <w:b/>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676F59"/>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676F59"/>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hengende-innrykk"/>
    <w:rsid w:val="00676F59"/>
    <w:pPr>
      <w:ind w:left="0" w:firstLine="0"/>
    </w:pPr>
  </w:style>
  <w:style w:type="paragraph" w:customStyle="1" w:styleId="del-nr">
    <w:name w:val="del-nr"/>
    <w:basedOn w:val="Normal"/>
    <w:qFormat/>
    <w:rsid w:val="00676F59"/>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76F59"/>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76F59"/>
  </w:style>
  <w:style w:type="paragraph" w:customStyle="1" w:styleId="figur-noter">
    <w:name w:val="figur-noter"/>
    <w:basedOn w:val="Normal"/>
    <w:next w:val="Normal"/>
    <w:rsid w:val="00676F59"/>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76F5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basedOn w:val="Normal"/>
    <w:next w:val="Normal"/>
    <w:rsid w:val="00676F59"/>
    <w:pPr>
      <w:keepNext/>
      <w:spacing w:before="360" w:after="60"/>
      <w:jc w:val="center"/>
    </w:pPr>
    <w:rPr>
      <w:b/>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basedOn w:val="Normal"/>
    <w:next w:val="Normal"/>
    <w:rsid w:val="00676F59"/>
    <w:pPr>
      <w:keepNext/>
      <w:spacing w:before="60" w:after="60"/>
      <w:jc w:val="center"/>
    </w:pPr>
    <w:rPr>
      <w:i/>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76F59"/>
    <w:pPr>
      <w:ind w:left="709" w:hanging="709"/>
    </w:pPr>
  </w:style>
  <w:style w:type="paragraph" w:customStyle="1" w:styleId="i-budkap-over">
    <w:name w:val="i-budkap-over"/>
    <w:basedOn w:val="Normal"/>
    <w:next w:val="Normal"/>
    <w:rsid w:val="00676F59"/>
    <w:pPr>
      <w:jc w:val="right"/>
    </w:pPr>
    <w:rPr>
      <w:b/>
    </w:rPr>
  </w:style>
  <w:style w:type="paragraph" w:customStyle="1" w:styleId="i-dep">
    <w:name w:val="i-dep"/>
    <w:basedOn w:val="Normal"/>
    <w:next w:val="Normal"/>
    <w:rsid w:val="00676F59"/>
    <w:pPr>
      <w:jc w:val="right"/>
    </w:pPr>
    <w:rPr>
      <w:b/>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76F59"/>
    <w:pPr>
      <w:spacing w:before="120"/>
      <w:jc w:val="center"/>
    </w:pPr>
    <w:rPr>
      <w:b/>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76F59"/>
    <w:pPr>
      <w:ind w:left="1985" w:hanging="1985"/>
    </w:pPr>
  </w:style>
  <w:style w:type="paragraph" w:customStyle="1" w:styleId="i-statsrdato">
    <w:name w:val="i-statsr.dato"/>
    <w:basedOn w:val="Normal"/>
    <w:next w:val="Normal"/>
    <w:rsid w:val="00676F59"/>
    <w:pPr>
      <w:spacing w:after="0"/>
      <w:jc w:val="center"/>
    </w:pPr>
    <w:rPr>
      <w:i/>
    </w:rPr>
  </w:style>
  <w:style w:type="paragraph" w:customStyle="1" w:styleId="i-termin">
    <w:name w:val="i-termin"/>
    <w:basedOn w:val="Normal"/>
    <w:next w:val="Normal"/>
    <w:rsid w:val="00676F59"/>
    <w:pPr>
      <w:spacing w:before="360"/>
      <w:jc w:val="center"/>
    </w:pPr>
    <w:rPr>
      <w:b/>
      <w:sz w:val="28"/>
    </w:rPr>
  </w:style>
  <w:style w:type="paragraph" w:customStyle="1" w:styleId="i-tit">
    <w:name w:val="i-tit"/>
    <w:basedOn w:val="Normal"/>
    <w:next w:val="i-statsrdato"/>
    <w:rsid w:val="00676F59"/>
    <w:pPr>
      <w:spacing w:before="360" w:after="240"/>
      <w:jc w:val="center"/>
    </w:pPr>
    <w:rPr>
      <w:b/>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rsid w:val="00676F59"/>
  </w:style>
  <w:style w:type="paragraph" w:customStyle="1" w:styleId="Kilde">
    <w:name w:val="Kilde"/>
    <w:basedOn w:val="Normal"/>
    <w:next w:val="Normal"/>
    <w:rsid w:val="00676F59"/>
    <w:pPr>
      <w:spacing w:after="240"/>
    </w:pPr>
    <w:rPr>
      <w:sz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676F59"/>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76F59"/>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76F59"/>
    <w:pPr>
      <w:spacing w:before="120" w:after="60" w:line="276" w:lineRule="auto"/>
    </w:pPr>
    <w:rPr>
      <w:rFonts w:ascii="Times New Roman" w:eastAsiaTheme="minorEastAsia"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76F59"/>
    <w:pPr>
      <w:spacing w:before="240" w:after="40" w:line="276" w:lineRule="auto"/>
    </w:pPr>
    <w:rPr>
      <w:rFonts w:ascii="Times New Roman" w:eastAsiaTheme="minorEastAsia"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76F59"/>
    <w:pPr>
      <w:spacing w:before="120" w:after="60" w:line="276" w:lineRule="auto"/>
    </w:pPr>
    <w:rPr>
      <w:rFonts w:ascii="Times New Roman" w:eastAsiaTheme="minorEastAsia"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76F59"/>
    <w:pPr>
      <w:spacing w:after="0" w:line="276" w:lineRule="auto"/>
    </w:pPr>
    <w:rPr>
      <w:rFonts w:ascii="Times New Roman" w:eastAsiaTheme="minorEastAsia" w:hAnsi="Times New Roman"/>
      <w:spacing w:val="4"/>
      <w:szCs w:val="22"/>
    </w:rPr>
  </w:style>
  <w:style w:type="paragraph" w:customStyle="1" w:styleId="l-tit-endr-avsnitt">
    <w:name w:val="l-tit-endr-avsnitt"/>
    <w:basedOn w:val="l-tit-endr-lovkap"/>
    <w:qFormat/>
    <w:rsid w:val="00676F59"/>
  </w:style>
  <w:style w:type="paragraph" w:customStyle="1" w:styleId="l-tit-endr-ledd">
    <w:name w:val="l-tit-endr-ledd"/>
    <w:basedOn w:val="Normal"/>
    <w:qFormat/>
    <w:rsid w:val="00676F59"/>
    <w:pPr>
      <w:keepNext/>
      <w:spacing w:before="240" w:after="0"/>
    </w:pPr>
    <w:rPr>
      <w:rFonts w:eastAsiaTheme="minorEastAsia"/>
      <w:noProof/>
      <w:spacing w:val="4"/>
      <w:szCs w:val="22"/>
      <w:lang w:val="nn-NO"/>
    </w:rPr>
  </w:style>
  <w:style w:type="paragraph" w:customStyle="1" w:styleId="l-tit-endr-lov">
    <w:name w:val="l-tit-endr-lov"/>
    <w:basedOn w:val="Normal"/>
    <w:qFormat/>
    <w:rsid w:val="00676F59"/>
    <w:pPr>
      <w:keepNext/>
      <w:spacing w:before="240" w:after="0"/>
    </w:pPr>
    <w:rPr>
      <w:rFonts w:eastAsiaTheme="minorEastAsia"/>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76F59"/>
    <w:pPr>
      <w:keepNext/>
      <w:spacing w:before="240" w:after="0"/>
    </w:pPr>
    <w:rPr>
      <w:rFonts w:eastAsiaTheme="minorEastAsia"/>
      <w:noProof/>
      <w:spacing w:val="4"/>
      <w:szCs w:val="22"/>
      <w:lang w:val="nn-NO"/>
    </w:rPr>
  </w:style>
  <w:style w:type="paragraph" w:customStyle="1" w:styleId="l-tit-endr-lovkap">
    <w:name w:val="l-tit-endr-lovkap"/>
    <w:basedOn w:val="Normal"/>
    <w:qFormat/>
    <w:rsid w:val="00676F59"/>
    <w:pPr>
      <w:keepNext/>
      <w:spacing w:before="240" w:after="0"/>
    </w:pPr>
    <w:rPr>
      <w:rFonts w:eastAsiaTheme="minorEastAsia"/>
      <w:noProof/>
      <w:spacing w:val="4"/>
      <w:szCs w:val="22"/>
      <w:lang w:val="nn-NO"/>
    </w:rPr>
  </w:style>
  <w:style w:type="paragraph" w:customStyle="1" w:styleId="l-tit-endr-punktum">
    <w:name w:val="l-tit-endr-punktum"/>
    <w:basedOn w:val="l-tit-endr-ledd"/>
    <w:qFormat/>
    <w:rsid w:val="00676F5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676F59"/>
    <w:pPr>
      <w:spacing w:before="60" w:after="0" w:line="276" w:lineRule="auto"/>
      <w:ind w:left="794"/>
    </w:pPr>
    <w:rPr>
      <w:rFonts w:ascii="Times New Roman" w:eastAsiaTheme="minorEastAsia" w:hAnsi="Times New Roman"/>
      <w:szCs w:val="22"/>
    </w:rPr>
  </w:style>
  <w:style w:type="paragraph" w:customStyle="1" w:styleId="Listeavsnitt3">
    <w:name w:val="Listeavsnitt 3"/>
    <w:basedOn w:val="Normal"/>
    <w:qFormat/>
    <w:rsid w:val="00676F59"/>
    <w:pPr>
      <w:spacing w:before="60" w:after="0" w:line="276" w:lineRule="auto"/>
      <w:ind w:left="1191"/>
    </w:pPr>
    <w:rPr>
      <w:rFonts w:ascii="Times New Roman" w:eastAsiaTheme="minorEastAsia" w:hAnsi="Times New Roman"/>
      <w:szCs w:val="22"/>
    </w:rPr>
  </w:style>
  <w:style w:type="paragraph" w:customStyle="1" w:styleId="Listeavsnitt4">
    <w:name w:val="Listeavsnitt 4"/>
    <w:basedOn w:val="Normal"/>
    <w:qFormat/>
    <w:rsid w:val="00676F59"/>
    <w:pPr>
      <w:spacing w:before="60" w:after="0" w:line="276" w:lineRule="auto"/>
      <w:ind w:left="1588"/>
    </w:pPr>
    <w:rPr>
      <w:rFonts w:ascii="Times New Roman" w:eastAsiaTheme="minorEastAsia" w:hAnsi="Times New Roman"/>
      <w:szCs w:val="22"/>
    </w:rPr>
  </w:style>
  <w:style w:type="paragraph" w:customStyle="1" w:styleId="Listeavsnitt5">
    <w:name w:val="Listeavsnitt 5"/>
    <w:basedOn w:val="Normal"/>
    <w:qFormat/>
    <w:rsid w:val="00676F59"/>
    <w:pPr>
      <w:spacing w:before="60" w:after="0" w:line="276" w:lineRule="auto"/>
      <w:ind w:left="1985"/>
    </w:pPr>
    <w:rPr>
      <w:rFonts w:ascii="Times New Roman" w:eastAsiaTheme="minorEastAsia"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uiPriority w:val="99"/>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76F59"/>
    <w:pPr>
      <w:keepNext/>
      <w:keepLines/>
      <w:spacing w:before="360" w:after="60" w:line="276" w:lineRule="auto"/>
    </w:pPr>
    <w:rPr>
      <w:rFonts w:ascii="Arial" w:eastAsiaTheme="minorEastAsia" w:hAnsi="Arial"/>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uiPriority w:val="99"/>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76F59"/>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76F59"/>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52901"/>
    <w:pPr>
      <w:keepNext/>
    </w:pPr>
    <w:rPr>
      <w:color w:val="00800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76F59"/>
    <w:pPr>
      <w:ind w:left="0" w:firstLine="0"/>
    </w:p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76F59"/>
    <w:pPr>
      <w:keepNext/>
      <w:keepLines/>
      <w:spacing w:line="276" w:lineRule="auto"/>
      <w:jc w:val="center"/>
    </w:pPr>
    <w:rPr>
      <w:rFonts w:ascii="Arial" w:eastAsiaTheme="minorEastAsia"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76F59"/>
    <w:pPr>
      <w:keepNext/>
      <w:keepLines/>
      <w:spacing w:before="360" w:after="240" w:line="276" w:lineRule="auto"/>
      <w:jc w:val="center"/>
    </w:pPr>
    <w:rPr>
      <w:rFonts w:ascii="Arial" w:eastAsiaTheme="minorEastAsia"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76F59"/>
    <w:pPr>
      <w:keepNext/>
      <w:keepLines/>
      <w:spacing w:before="360" w:after="240" w:line="276" w:lineRule="auto"/>
      <w:jc w:val="center"/>
    </w:pPr>
    <w:rPr>
      <w:rFonts w:ascii="Arial" w:eastAsiaTheme="minorEastAsia"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76F59"/>
    <w:rPr>
      <w:b w:val="0"/>
      <w:i/>
    </w:rPr>
  </w:style>
  <w:style w:type="paragraph" w:customStyle="1" w:styleId="Undervedl-tittel">
    <w:name w:val="Undervedl-tittel"/>
    <w:basedOn w:val="Normal"/>
    <w:next w:val="Normal"/>
    <w:rsid w:val="00676F59"/>
    <w:pPr>
      <w:keepNext/>
      <w:spacing w:before="360" w:after="240"/>
    </w:pPr>
    <w:rPr>
      <w:rFonts w:ascii="Arial" w:hAnsi="Arial"/>
      <w:b/>
      <w:sz w:val="28"/>
    </w:rPr>
  </w:style>
  <w:style w:type="paragraph" w:customStyle="1" w:styleId="v-Overskrift1">
    <w:name w:val="v-Overskrift 1"/>
    <w:basedOn w:val="Overskrift1"/>
    <w:next w:val="Normal"/>
    <w:rsid w:val="00676F59"/>
    <w:pPr>
      <w:keepLines/>
      <w:numPr>
        <w:numId w:val="0"/>
      </w:numPr>
      <w:spacing w:line="276" w:lineRule="auto"/>
      <w:jc w:val="left"/>
      <w:outlineLvl w:val="9"/>
    </w:pPr>
    <w:rPr>
      <w:rFonts w:eastAsiaTheme="minorEastAsia"/>
      <w:szCs w:val="22"/>
    </w:rPr>
  </w:style>
  <w:style w:type="paragraph" w:customStyle="1" w:styleId="v-Overskrift2">
    <w:name w:val="v-Overskrift 2"/>
    <w:basedOn w:val="Overskrift2"/>
    <w:next w:val="Normal"/>
    <w:rsid w:val="00676F59"/>
    <w:pPr>
      <w:keepLines/>
      <w:numPr>
        <w:ilvl w:val="0"/>
        <w:numId w:val="0"/>
      </w:numPr>
      <w:spacing w:line="276" w:lineRule="auto"/>
      <w:outlineLvl w:val="9"/>
    </w:pPr>
    <w:rPr>
      <w:rFonts w:eastAsiaTheme="minorEastAsia"/>
      <w:spacing w:val="4"/>
      <w:sz w:val="28"/>
      <w:szCs w:val="22"/>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76F59"/>
    <w:pPr>
      <w:keepLines/>
      <w:numPr>
        <w:ilvl w:val="0"/>
        <w:numId w:val="0"/>
      </w:numPr>
      <w:spacing w:before="360" w:line="276" w:lineRule="auto"/>
      <w:outlineLvl w:val="9"/>
    </w:pPr>
    <w:rPr>
      <w:rFonts w:eastAsiaTheme="minorEastAsia"/>
      <w:szCs w:val="22"/>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76F59"/>
    <w:pPr>
      <w:keepNext/>
      <w:keepLines/>
      <w:numPr>
        <w:numId w:val="28"/>
      </w:numPr>
      <w:spacing w:line="276" w:lineRule="auto"/>
    </w:pPr>
    <w:rPr>
      <w:rFonts w:ascii="Arial" w:eastAsiaTheme="minorEastAsia"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76F59"/>
    <w:pPr>
      <w:keepNext/>
      <w:keepLines/>
      <w:spacing w:before="360" w:after="80" w:line="276" w:lineRule="auto"/>
      <w:jc w:val="center"/>
    </w:pPr>
    <w:rPr>
      <w:rFonts w:ascii="Arial" w:eastAsiaTheme="minorEastAsia"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i-sesjon"/>
    <w:qFormat/>
    <w:rsid w:val="00676F59"/>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76F59"/>
    <w:pPr>
      <w:spacing w:before="720"/>
      <w:jc w:val="center"/>
    </w:pPr>
    <w:rPr>
      <w:b/>
      <w:sz w:val="56"/>
    </w:rPr>
  </w:style>
  <w:style w:type="paragraph" w:customStyle="1" w:styleId="i-sesjon">
    <w:name w:val="i-sesjon"/>
    <w:basedOn w:val="Normal"/>
    <w:next w:val="Normal"/>
    <w:rsid w:val="00676F59"/>
    <w:pPr>
      <w:jc w:val="center"/>
    </w:pPr>
    <w:rPr>
      <w:b/>
      <w:sz w:val="28"/>
    </w:rPr>
  </w:style>
  <w:style w:type="paragraph" w:customStyle="1" w:styleId="i-mtit">
    <w:name w:val="i-mtit"/>
    <w:basedOn w:val="Normal"/>
    <w:next w:val="Normal"/>
    <w:rsid w:val="00676F59"/>
    <w:pPr>
      <w:keepNext/>
      <w:keepLines/>
      <w:spacing w:before="360" w:line="276" w:lineRule="auto"/>
      <w:jc w:val="center"/>
    </w:pPr>
    <w:rPr>
      <w:rFonts w:eastAsiaTheme="minorEastAsia"/>
      <w:b/>
      <w:noProof/>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76F59"/>
    <w:pPr>
      <w:numPr>
        <w:numId w:val="17"/>
      </w:numPr>
      <w:spacing w:after="0" w:line="276" w:lineRule="auto"/>
    </w:pPr>
    <w:rPr>
      <w:rFonts w:ascii="Times New Roman" w:eastAsiaTheme="minorEastAsia" w:hAnsi="Times New Roman"/>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676F59"/>
    <w:pPr>
      <w:numPr>
        <w:ilvl w:val="1"/>
        <w:numId w:val="17"/>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76F59"/>
    <w:pPr>
      <w:numPr>
        <w:ilvl w:val="2"/>
        <w:numId w:val="17"/>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76F59"/>
    <w:pPr>
      <w:numPr>
        <w:ilvl w:val="3"/>
        <w:numId w:val="17"/>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76F59"/>
    <w:pPr>
      <w:numPr>
        <w:ilvl w:val="4"/>
        <w:numId w:val="17"/>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76F59"/>
    <w:pPr>
      <w:numPr>
        <w:numId w:val="2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76F59"/>
    <w:pPr>
      <w:numPr>
        <w:ilvl w:val="1"/>
        <w:numId w:val="2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76F59"/>
    <w:pPr>
      <w:numPr>
        <w:ilvl w:val="2"/>
        <w:numId w:val="2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76F59"/>
    <w:pPr>
      <w:numPr>
        <w:ilvl w:val="3"/>
        <w:numId w:val="2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76F59"/>
    <w:pPr>
      <w:numPr>
        <w:ilvl w:val="4"/>
        <w:numId w:val="27"/>
      </w:numPr>
      <w:spacing w:after="0" w:line="276" w:lineRule="auto"/>
    </w:pPr>
    <w:rPr>
      <w:rFonts w:ascii="Times New Roman" w:eastAsiaTheme="minorEastAsia" w:hAnsi="Times New Roman"/>
      <w:spacing w:val="4"/>
      <w:szCs w:val="22"/>
    </w:rPr>
  </w:style>
  <w:style w:type="paragraph" w:customStyle="1" w:styleId="opplisting">
    <w:name w:val="opplisting"/>
    <w:basedOn w:val="Normal"/>
    <w:rsid w:val="00676F59"/>
    <w:pPr>
      <w:spacing w:after="0" w:line="276" w:lineRule="auto"/>
    </w:pPr>
    <w:rPr>
      <w:rFonts w:eastAsiaTheme="minorEastAsia"/>
      <w:szCs w:val="22"/>
    </w:rPr>
  </w:style>
  <w:style w:type="paragraph" w:customStyle="1" w:styleId="opplisting2">
    <w:name w:val="opplisting 2"/>
    <w:basedOn w:val="Normal"/>
    <w:qFormat/>
    <w:rsid w:val="00676F59"/>
    <w:pPr>
      <w:spacing w:after="0" w:line="276" w:lineRule="auto"/>
      <w:ind w:left="397"/>
    </w:pPr>
    <w:rPr>
      <w:rFonts w:ascii="Times New Roman" w:eastAsiaTheme="minorEastAsia" w:hAnsi="Times New Roman"/>
      <w:szCs w:val="22"/>
      <w:lang w:val="en-US"/>
    </w:rPr>
  </w:style>
  <w:style w:type="paragraph" w:customStyle="1" w:styleId="opplisting3">
    <w:name w:val="opplisting 3"/>
    <w:basedOn w:val="Normal"/>
    <w:qFormat/>
    <w:rsid w:val="00676F59"/>
    <w:pPr>
      <w:spacing w:after="0" w:line="276" w:lineRule="auto"/>
      <w:ind w:left="794"/>
    </w:pPr>
    <w:rPr>
      <w:rFonts w:ascii="Times New Roman" w:eastAsiaTheme="minorEastAsia" w:hAnsi="Times New Roman"/>
      <w:szCs w:val="22"/>
    </w:rPr>
  </w:style>
  <w:style w:type="paragraph" w:customStyle="1" w:styleId="opplisting4">
    <w:name w:val="opplisting 4"/>
    <w:basedOn w:val="Normal"/>
    <w:qFormat/>
    <w:rsid w:val="00676F59"/>
    <w:pPr>
      <w:spacing w:after="0" w:line="276" w:lineRule="auto"/>
      <w:ind w:left="1191"/>
    </w:pPr>
    <w:rPr>
      <w:rFonts w:ascii="Times New Roman" w:eastAsiaTheme="minorEastAsia" w:hAnsi="Times New Roman"/>
      <w:szCs w:val="22"/>
    </w:rPr>
  </w:style>
  <w:style w:type="paragraph" w:customStyle="1" w:styleId="opplisting5">
    <w:name w:val="opplisting 5"/>
    <w:basedOn w:val="Normal"/>
    <w:qFormat/>
    <w:rsid w:val="00676F59"/>
    <w:pPr>
      <w:spacing w:after="0" w:line="276" w:lineRule="auto"/>
      <w:ind w:left="1588"/>
    </w:pPr>
    <w:rPr>
      <w:rFonts w:ascii="Times New Roman" w:eastAsiaTheme="minorEastAsia" w:hAnsi="Times New Roman"/>
      <w:szCs w:val="22"/>
    </w:rPr>
  </w:style>
  <w:style w:type="paragraph" w:customStyle="1" w:styleId="friliste">
    <w:name w:val="friliste"/>
    <w:basedOn w:val="Normal"/>
    <w:qFormat/>
    <w:rsid w:val="00676F59"/>
    <w:pPr>
      <w:tabs>
        <w:tab w:val="left" w:pos="397"/>
      </w:tabs>
      <w:spacing w:after="0" w:line="276" w:lineRule="auto"/>
      <w:ind w:left="397" w:hanging="397"/>
    </w:pPr>
    <w:rPr>
      <w:rFonts w:ascii="Times New Roman" w:eastAsiaTheme="minorEastAsia" w:hAnsi="Times New Roman"/>
      <w:szCs w:val="22"/>
    </w:rPr>
  </w:style>
  <w:style w:type="paragraph" w:customStyle="1" w:styleId="friliste2">
    <w:name w:val="friliste 2"/>
    <w:basedOn w:val="Normal"/>
    <w:qFormat/>
    <w:rsid w:val="00676F59"/>
    <w:pPr>
      <w:tabs>
        <w:tab w:val="left" w:pos="794"/>
      </w:tabs>
      <w:spacing w:after="0" w:line="276" w:lineRule="auto"/>
      <w:ind w:left="794" w:hanging="397"/>
    </w:pPr>
    <w:rPr>
      <w:rFonts w:ascii="Times New Roman" w:eastAsiaTheme="minorEastAsia" w:hAnsi="Times New Roman"/>
      <w:szCs w:val="22"/>
    </w:rPr>
  </w:style>
  <w:style w:type="paragraph" w:customStyle="1" w:styleId="friliste3">
    <w:name w:val="friliste 3"/>
    <w:basedOn w:val="Normal"/>
    <w:qFormat/>
    <w:rsid w:val="00676F59"/>
    <w:pPr>
      <w:tabs>
        <w:tab w:val="left" w:pos="1191"/>
      </w:tabs>
      <w:spacing w:after="0" w:line="276" w:lineRule="auto"/>
      <w:ind w:left="1191" w:hanging="397"/>
    </w:pPr>
    <w:rPr>
      <w:rFonts w:ascii="Times New Roman" w:eastAsiaTheme="minorEastAsia" w:hAnsi="Times New Roman"/>
      <w:szCs w:val="22"/>
    </w:rPr>
  </w:style>
  <w:style w:type="paragraph" w:customStyle="1" w:styleId="friliste4">
    <w:name w:val="friliste 4"/>
    <w:basedOn w:val="Normal"/>
    <w:qFormat/>
    <w:rsid w:val="00676F59"/>
    <w:pPr>
      <w:tabs>
        <w:tab w:val="left" w:pos="1588"/>
      </w:tabs>
      <w:spacing w:after="0" w:line="276" w:lineRule="auto"/>
      <w:ind w:left="1588" w:hanging="397"/>
    </w:pPr>
    <w:rPr>
      <w:rFonts w:ascii="Times New Roman" w:eastAsiaTheme="minorEastAsia" w:hAnsi="Times New Roman"/>
      <w:szCs w:val="22"/>
    </w:rPr>
  </w:style>
  <w:style w:type="paragraph" w:customStyle="1" w:styleId="friliste5">
    <w:name w:val="friliste 5"/>
    <w:basedOn w:val="Normal"/>
    <w:qFormat/>
    <w:rsid w:val="00676F59"/>
    <w:pPr>
      <w:tabs>
        <w:tab w:val="left" w:pos="1985"/>
      </w:tabs>
      <w:spacing w:after="0" w:line="276" w:lineRule="auto"/>
      <w:ind w:left="1985" w:hanging="397"/>
    </w:pPr>
    <w:rPr>
      <w:rFonts w:ascii="Times New Roman" w:eastAsiaTheme="minorEastAsia" w:hAnsi="Times New Roman"/>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76F59"/>
    <w:pPr>
      <w:numPr>
        <w:numId w:val="26"/>
      </w:numPr>
      <w:tabs>
        <w:tab w:val="num" w:pos="2000"/>
      </w:tabs>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76F59"/>
    <w:pPr>
      <w:numPr>
        <w:numId w:val="26"/>
      </w:numPr>
      <w:tabs>
        <w:tab w:val="num" w:pos="2000"/>
      </w:tabs>
      <w:spacing w:line="276" w:lineRule="auto"/>
    </w:pPr>
    <w:rPr>
      <w:rFonts w:ascii="Times New Roman" w:eastAsiaTheme="minorEastAsia" w:hAnsi="Times New Roman"/>
      <w:spacing w:val="4"/>
      <w:szCs w:val="22"/>
    </w:rPr>
  </w:style>
  <w:style w:type="paragraph" w:customStyle="1" w:styleId="avsnitt-undertittel">
    <w:name w:val="avsnitt-undertittel"/>
    <w:basedOn w:val="Normal"/>
    <w:next w:val="Normal"/>
    <w:rsid w:val="00676F59"/>
    <w:pPr>
      <w:keepNext/>
      <w:keepLines/>
      <w:spacing w:before="36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76F59"/>
    <w:pPr>
      <w:numPr>
        <w:numId w:val="26"/>
      </w:numPr>
      <w:tabs>
        <w:tab w:val="num" w:pos="2000"/>
      </w:tabs>
      <w:spacing w:line="276" w:lineRule="auto"/>
    </w:pPr>
    <w:rPr>
      <w:rFonts w:ascii="Times New Roman" w:eastAsiaTheme="minorEastAsia" w:hAnsi="Times New Roman"/>
      <w:szCs w:val="22"/>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76F59"/>
    <w:pPr>
      <w:numPr>
        <w:numId w:val="26"/>
      </w:numPr>
      <w:tabs>
        <w:tab w:val="num" w:pos="2000"/>
      </w:tabs>
      <w:spacing w:line="276" w:lineRule="auto"/>
    </w:pPr>
    <w:rPr>
      <w:rFonts w:ascii="Times New Roman" w:eastAsiaTheme="minorEastAsia" w:hAnsi="Times New Roman"/>
      <w:szCs w:val="22"/>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76F59"/>
    <w:pPr>
      <w:numPr>
        <w:numId w:val="26"/>
      </w:numPr>
      <w:spacing w:line="276" w:lineRule="auto"/>
    </w:pPr>
    <w:rPr>
      <w:rFonts w:ascii="Times New Roman" w:eastAsiaTheme="minorEastAsia" w:hAnsi="Times New Roman"/>
      <w:szCs w:val="22"/>
    </w:rPr>
  </w:style>
  <w:style w:type="paragraph" w:customStyle="1" w:styleId="avsnitt-under-undertittel">
    <w:name w:val="avsnitt-under-undertittel"/>
    <w:basedOn w:val="Normal"/>
    <w:next w:val="Normal"/>
    <w:rsid w:val="00676F59"/>
    <w:pPr>
      <w:keepNext/>
      <w:keepLines/>
      <w:spacing w:before="360"/>
    </w:pPr>
    <w:rPr>
      <w:rFonts w:ascii="Times New Roman" w:hAnsi="Times New Roman"/>
      <w:i/>
    </w:rPr>
  </w:style>
  <w:style w:type="paragraph" w:customStyle="1" w:styleId="blokksit">
    <w:name w:val="blokksit"/>
    <w:basedOn w:val="Normal"/>
    <w:qFormat/>
    <w:rsid w:val="00676F59"/>
    <w:pPr>
      <w:ind w:left="397"/>
    </w:pPr>
    <w:rPr>
      <w:rFonts w:eastAsiaTheme="minorEastAsia"/>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76F59"/>
    <w:pPr>
      <w:spacing w:before="180" w:after="0" w:line="276" w:lineRule="auto"/>
    </w:pPr>
    <w:rPr>
      <w:rFonts w:eastAsiaTheme="minorEastAsia"/>
      <w:i/>
      <w:spacing w:val="4"/>
      <w:szCs w:val="22"/>
    </w:rPr>
  </w:style>
  <w:style w:type="paragraph" w:customStyle="1" w:styleId="l-ledd">
    <w:name w:val="l-ledd"/>
    <w:basedOn w:val="Normal"/>
    <w:qFormat/>
    <w:rsid w:val="00676F59"/>
    <w:pPr>
      <w:spacing w:after="0" w:line="276" w:lineRule="auto"/>
      <w:ind w:firstLine="397"/>
    </w:pPr>
    <w:rPr>
      <w:rFonts w:eastAsiaTheme="minorEastAsia"/>
      <w:spacing w:val="4"/>
      <w:szCs w:val="22"/>
    </w:rPr>
  </w:style>
  <w:style w:type="paragraph" w:customStyle="1" w:styleId="l-tit-endr-paragraf">
    <w:name w:val="l-tit-endr-paragraf"/>
    <w:basedOn w:val="Normal"/>
    <w:qFormat/>
    <w:rsid w:val="00676F59"/>
    <w:pPr>
      <w:keepNext/>
      <w:spacing w:before="240" w:after="0"/>
    </w:pPr>
    <w:rPr>
      <w:rFonts w:eastAsiaTheme="minorEastAsia"/>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76F59"/>
    <w:pPr>
      <w:keepNext/>
      <w:keepLines/>
      <w:numPr>
        <w:ilvl w:val="7"/>
        <w:numId w:val="29"/>
      </w:numPr>
      <w:spacing w:before="360" w:after="80" w:line="276" w:lineRule="auto"/>
      <w:jc w:val="center"/>
    </w:pPr>
    <w:rPr>
      <w:rFonts w:ascii="Arial" w:eastAsiaTheme="minorEastAsia" w:hAnsi="Arial"/>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Calibri" w:hAnsi="Calibri"/>
      <w:color w:val="000000"/>
      <w:sz w:val="24"/>
      <w:u w:val="none"/>
      <w:lang w:val="en-US" w:eastAsia="x-none"/>
    </w:rPr>
  </w:style>
  <w:style w:type="character" w:customStyle="1" w:styleId="Bullet4">
    <w:name w:val="Bullet4"/>
    <w:uiPriority w:val="99"/>
    <w:rPr>
      <w:rFonts w:ascii="Symbol" w:hAnsi="Symbol"/>
      <w:color w:val="000000"/>
      <w:sz w:val="24"/>
      <w:u w:val="none"/>
      <w:lang w:val="en-US" w:eastAsia="x-none"/>
    </w:rPr>
  </w:style>
  <w:style w:type="character" w:customStyle="1" w:styleId="Bullet5">
    <w:name w:val="Bullet5"/>
    <w:uiPriority w:val="99"/>
    <w:rPr>
      <w:rFonts w:ascii="Calibri" w:hAnsi="Calibri"/>
      <w:color w:val="000000"/>
      <w:sz w:val="24"/>
      <w:u w:val="none"/>
      <w:lang w:val="en-US" w:eastAsia="x-none"/>
    </w:rPr>
  </w:style>
  <w:style w:type="character" w:customStyle="1" w:styleId="Bullet6">
    <w:name w:val="Bullet6"/>
    <w:uiPriority w:val="99"/>
    <w:rPr>
      <w:color w:val="000000"/>
      <w:u w:val="none"/>
    </w:rPr>
  </w:style>
  <w:style w:type="character" w:customStyle="1" w:styleId="Bullet7">
    <w:name w:val="Bullet7"/>
    <w:uiPriority w:val="99"/>
    <w:rPr>
      <w:rFonts w:ascii="Calibri" w:hAnsi="Calibri"/>
      <w:color w:val="000000"/>
      <w:sz w:val="24"/>
      <w:u w:val="none"/>
      <w:lang w:val="en-US" w:eastAsia="x-none"/>
    </w:rPr>
  </w:style>
  <w:style w:type="character" w:customStyle="1" w:styleId="Bullet8">
    <w:name w:val="Bullet8"/>
    <w:uiPriority w:val="99"/>
    <w:rPr>
      <w:rFonts w:ascii="Symbol" w:hAnsi="Symbol"/>
      <w:color w:val="000000"/>
      <w:sz w:val="24"/>
      <w:u w:val="none"/>
      <w:lang w:val="en-US" w:eastAsia="x-none"/>
    </w:rPr>
  </w:style>
  <w:style w:type="character" w:styleId="Merknadsreferanse">
    <w:name w:val="annotation reference"/>
    <w:basedOn w:val="Standardskriftforavsnitt"/>
    <w:uiPriority w:val="99"/>
    <w:rsid w:val="00676F59"/>
    <w:rPr>
      <w:sz w:val="16"/>
    </w:rPr>
  </w:style>
  <w:style w:type="character" w:styleId="Boktittel">
    <w:name w:val="Book Title"/>
    <w:basedOn w:val="Standardskriftforavsnitt"/>
    <w:uiPriority w:val="33"/>
    <w:qFormat/>
    <w:rsid w:val="00676F59"/>
    <w:rPr>
      <w:b/>
      <w:smallCaps/>
      <w:spacing w:val="5"/>
    </w:rPr>
  </w:style>
  <w:style w:type="character" w:styleId="Fulgthyperkobling">
    <w:name w:val="FollowedHyperlink"/>
    <w:basedOn w:val="Standardskriftforavsnitt"/>
    <w:uiPriority w:val="99"/>
    <w:unhideWhenUsed/>
    <w:rsid w:val="00676F59"/>
    <w:rPr>
      <w:color w:val="800080"/>
      <w:u w:val="single"/>
    </w:rPr>
  </w:style>
  <w:style w:type="character" w:styleId="HTML-definisjon">
    <w:name w:val="HTML Definition"/>
    <w:basedOn w:val="Standardskriftforavsnitt"/>
    <w:uiPriority w:val="99"/>
    <w:unhideWhenUsed/>
    <w:rsid w:val="00676F59"/>
    <w:rPr>
      <w:i/>
    </w:rPr>
  </w:style>
  <w:style w:type="character" w:styleId="HTML-eksempel">
    <w:name w:val="HTML Sample"/>
    <w:basedOn w:val="Standardskriftforavsnitt"/>
    <w:uiPriority w:val="99"/>
    <w:unhideWhenUsed/>
    <w:rsid w:val="00676F59"/>
    <w:rPr>
      <w:rFonts w:ascii="Consolas" w:hAnsi="Consolas"/>
      <w:sz w:val="24"/>
    </w:rPr>
  </w:style>
  <w:style w:type="character" w:styleId="HTML-kode">
    <w:name w:val="HTML Code"/>
    <w:basedOn w:val="Standardskriftforavsnitt"/>
    <w:uiPriority w:val="99"/>
    <w:unhideWhenUsed/>
    <w:rsid w:val="00676F59"/>
    <w:rPr>
      <w:rFonts w:ascii="Consolas" w:hAnsi="Consolas"/>
      <w:sz w:val="20"/>
    </w:rPr>
  </w:style>
  <w:style w:type="character" w:styleId="HTML-sitat">
    <w:name w:val="HTML Cite"/>
    <w:basedOn w:val="Standardskriftforavsnitt"/>
    <w:uiPriority w:val="99"/>
    <w:unhideWhenUsed/>
    <w:rsid w:val="00676F59"/>
    <w:rPr>
      <w:i/>
    </w:rPr>
  </w:style>
  <w:style w:type="character" w:styleId="HTML-skrivemaskin">
    <w:name w:val="HTML Typewriter"/>
    <w:basedOn w:val="Standardskriftforavsnitt"/>
    <w:uiPriority w:val="99"/>
    <w:unhideWhenUsed/>
    <w:rsid w:val="00676F59"/>
    <w:rPr>
      <w:rFonts w:ascii="Consolas" w:hAnsi="Consolas"/>
      <w:sz w:val="20"/>
    </w:rPr>
  </w:style>
  <w:style w:type="character" w:styleId="HTML-tastatur">
    <w:name w:val="HTML Keyboard"/>
    <w:basedOn w:val="Standardskriftforavsnitt"/>
    <w:uiPriority w:val="99"/>
    <w:unhideWhenUsed/>
    <w:rsid w:val="00676F59"/>
    <w:rPr>
      <w:rFonts w:ascii="Consolas" w:hAnsi="Consolas"/>
      <w:sz w:val="20"/>
    </w:rPr>
  </w:style>
  <w:style w:type="character" w:styleId="HTML-variabel">
    <w:name w:val="HTML Variable"/>
    <w:basedOn w:val="Standardskriftforavsnitt"/>
    <w:uiPriority w:val="99"/>
    <w:unhideWhenUsed/>
    <w:rsid w:val="00676F59"/>
    <w:rPr>
      <w:i/>
    </w:rPr>
  </w:style>
  <w:style w:type="character" w:styleId="Sluttnotereferanse">
    <w:name w:val="endnote reference"/>
    <w:basedOn w:val="Standardskriftforavsnitt"/>
    <w:uiPriority w:val="99"/>
    <w:unhideWhenUsed/>
    <w:rsid w:val="00676F59"/>
    <w:rPr>
      <w:vertAlign w:val="superscript"/>
    </w:rPr>
  </w:style>
  <w:style w:type="character" w:styleId="Sterkreferanse">
    <w:name w:val="Intense Reference"/>
    <w:basedOn w:val="Standardskriftforavsnitt"/>
    <w:uiPriority w:val="32"/>
    <w:qFormat/>
    <w:rsid w:val="00676F59"/>
    <w:rPr>
      <w:b/>
      <w:smallCaps/>
      <w:color w:val="C0504D"/>
      <w:spacing w:val="5"/>
      <w:u w:val="single"/>
    </w:rPr>
  </w:style>
  <w:style w:type="character" w:styleId="Sterkutheving">
    <w:name w:val="Intense Emphasis"/>
    <w:basedOn w:val="Standardskriftforavsnitt"/>
    <w:uiPriority w:val="21"/>
    <w:qFormat/>
    <w:rsid w:val="00676F59"/>
    <w:rPr>
      <w:b/>
      <w:i/>
      <w:color w:val="4F81BD"/>
    </w:rPr>
  </w:style>
  <w:style w:type="character" w:styleId="Svakreferanse">
    <w:name w:val="Subtle Reference"/>
    <w:basedOn w:val="Standardskriftforavsnitt"/>
    <w:uiPriority w:val="31"/>
    <w:qFormat/>
    <w:rsid w:val="00676F59"/>
    <w:rPr>
      <w:smallCaps/>
      <w:color w:val="C0504D"/>
      <w:u w:val="single"/>
    </w:rPr>
  </w:style>
  <w:style w:type="character" w:styleId="Svakutheving">
    <w:name w:val="Subtle Emphasis"/>
    <w:basedOn w:val="Standardskriftforavsnitt"/>
    <w:uiPriority w:val="19"/>
    <w:qFormat/>
    <w:rsid w:val="00676F59"/>
    <w:rPr>
      <w:i/>
      <w:color w:val="808080"/>
    </w:rPr>
  </w:style>
  <w:style w:type="character" w:styleId="Utheving">
    <w:name w:val="Emphasis"/>
    <w:basedOn w:val="Standardskriftforavsnitt"/>
    <w:uiPriority w:val="20"/>
    <w:qFormat/>
    <w:rsid w:val="00676F59"/>
    <w:rPr>
      <w:i/>
    </w:rPr>
  </w:style>
  <w:style w:type="character" w:customStyle="1" w:styleId="b-budkaptitTegn">
    <w:name w:val="b-budkaptit Tegn"/>
    <w:uiPriority w:val="99"/>
    <w:rPr>
      <w:rFonts w:ascii="Arial" w:hAnsi="Arial"/>
      <w:b/>
      <w:color w:val="000000"/>
      <w:sz w:val="28"/>
      <w:u w:val="none"/>
      <w:lang w:val="en-US" w:eastAsia="x-none"/>
    </w:rPr>
  </w:style>
  <w:style w:type="character" w:customStyle="1" w:styleId="ListeavsnittTegn">
    <w:name w:val="Listeavsnitt Tegn"/>
    <w:uiPriority w:val="99"/>
    <w:rPr>
      <w:rFonts w:ascii="Times New Roman" w:hAnsi="Times New Roman"/>
      <w:color w:val="000000"/>
      <w:sz w:val="24"/>
      <w:u w:val="none"/>
      <w:lang w:val="en-US" w:eastAsia="x-none"/>
    </w:rPr>
  </w:style>
  <w:style w:type="character" w:customStyle="1" w:styleId="avsnitt-undertittelTegn">
    <w:name w:val="avsnitt-undertittel Tegn"/>
    <w:uiPriority w:val="99"/>
    <w:rPr>
      <w:rFonts w:ascii="Arial" w:hAnsi="Arial"/>
      <w:i/>
      <w:color w:val="000000"/>
      <w:sz w:val="24"/>
      <w:u w:val="none"/>
      <w:lang w:val="en-US" w:eastAsia="x-none"/>
    </w:rPr>
  </w:style>
  <w:style w:type="character" w:customStyle="1" w:styleId="TalepunktChar">
    <w:name w:val="Talepunkt Char"/>
    <w:uiPriority w:val="99"/>
    <w:rPr>
      <w:rFonts w:ascii="DepCentury Old Style" w:hAnsi="DepCentury Old Style"/>
      <w:b/>
      <w:color w:val="000000"/>
      <w:sz w:val="24"/>
      <w:u w:val="none"/>
      <w:lang w:val="en-US" w:eastAsia="x-none"/>
    </w:rPr>
  </w:style>
  <w:style w:type="character" w:customStyle="1" w:styleId="longdoc-highlight2">
    <w:name w:val="longdoc-highlight2"/>
    <w:uiPriority w:val="99"/>
    <w:rPr>
      <w:color w:val="000000"/>
      <w:sz w:val="24"/>
      <w:u w:val="none"/>
      <w:lang w:val="en-US" w:eastAsia="x-none"/>
    </w:rPr>
  </w:style>
  <w:style w:type="character" w:customStyle="1" w:styleId="a-vedtak-tekstTegn">
    <w:name w:val="a-vedtak-tekst Tegn"/>
    <w:uiPriority w:val="99"/>
    <w:rPr>
      <w:rFonts w:ascii="Times" w:hAnsi="Times"/>
      <w:color w:val="000000"/>
      <w:sz w:val="24"/>
      <w:u w:val="none"/>
      <w:lang w:val="en-US" w:eastAsia="x-none"/>
    </w:rPr>
  </w:style>
  <w:style w:type="character" w:customStyle="1" w:styleId="Hashtag">
    <w:name w:val="Hashtag"/>
    <w:uiPriority w:val="99"/>
    <w:rPr>
      <w:color w:val="2B579A"/>
      <w:sz w:val="24"/>
      <w:u w:val="none"/>
      <w:lang w:val="en-US" w:eastAsia="x-none"/>
    </w:rPr>
  </w:style>
  <w:style w:type="character" w:customStyle="1" w:styleId="Mention">
    <w:name w:val="Mention"/>
    <w:uiPriority w:val="99"/>
    <w:rPr>
      <w:color w:val="2B579A"/>
      <w:sz w:val="24"/>
      <w:u w:val="none"/>
      <w:lang w:val="en-US" w:eastAsia="x-none"/>
    </w:rPr>
  </w:style>
  <w:style w:type="character" w:customStyle="1" w:styleId="SmartHyperlink">
    <w:name w:val="Smart Hyperlink"/>
    <w:uiPriority w:val="99"/>
    <w:rPr>
      <w:color w:val="000000"/>
      <w:sz w:val="24"/>
      <w:u w:val="thick"/>
      <w:lang w:val="en-US" w:eastAsia="x-none"/>
    </w:rPr>
  </w:style>
  <w:style w:type="character" w:customStyle="1" w:styleId="UnresolvedMention">
    <w:name w:val="Unresolved Mention"/>
    <w:uiPriority w:val="99"/>
    <w:rPr>
      <w:color w:val="808080"/>
      <w:sz w:val="24"/>
      <w:u w:val="none"/>
      <w:lang w:val="en-US" w:eastAsia="x-none"/>
    </w:rPr>
  </w:style>
  <w:style w:type="character" w:customStyle="1" w:styleId="Bullet9">
    <w:name w:val="Bullet9"/>
    <w:uiPriority w:val="99"/>
    <w:rPr>
      <w:rFonts w:ascii="Calibri" w:hAnsi="Calibri"/>
      <w:color w:val="000000"/>
      <w:sz w:val="24"/>
      <w:u w:val="none"/>
      <w:lang w:val="en-US" w:eastAsia="x-none"/>
    </w:rPr>
  </w:style>
  <w:style w:type="character" w:customStyle="1" w:styleId="Bullet10">
    <w:name w:val="Bullet10"/>
    <w:uiPriority w:val="99"/>
    <w:rPr>
      <w:rFonts w:ascii="Symbol" w:hAnsi="Symbol"/>
      <w:color w:val="000000"/>
      <w:sz w:val="24"/>
      <w:u w:val="none"/>
      <w:lang w:val="en-US" w:eastAsia="x-none"/>
    </w:rPr>
  </w:style>
  <w:style w:type="character" w:customStyle="1" w:styleId="Bullet11">
    <w:name w:val="Bullet11"/>
    <w:uiPriority w:val="99"/>
    <w:rPr>
      <w:rFonts w:ascii="Symbol" w:hAnsi="Symbol"/>
      <w:color w:val="000000"/>
      <w:sz w:val="24"/>
      <w:u w:val="none"/>
      <w:lang w:val="en-US" w:eastAsia="x-none"/>
    </w:rPr>
  </w:style>
  <w:style w:type="character" w:customStyle="1" w:styleId="Bullet12">
    <w:name w:val="Bullet12"/>
    <w:uiPriority w:val="99"/>
    <w:rPr>
      <w:rFonts w:ascii="Calibri" w:hAnsi="Calibri"/>
      <w:color w:val="000000"/>
      <w:sz w:val="24"/>
      <w:u w:val="none"/>
      <w:lang w:val="en-US" w:eastAsia="x-none"/>
    </w:rPr>
  </w:style>
  <w:style w:type="character" w:customStyle="1" w:styleId="Bullet13">
    <w:name w:val="Bullet13"/>
    <w:uiPriority w:val="99"/>
    <w:rPr>
      <w:rFonts w:ascii="Calibri" w:hAnsi="Calibri"/>
      <w:color w:val="000000"/>
      <w:sz w:val="24"/>
      <w:u w:val="none"/>
      <w:lang w:val="en-US" w:eastAsia="x-none"/>
    </w:rPr>
  </w:style>
  <w:style w:type="character" w:customStyle="1" w:styleId="Bullet14">
    <w:name w:val="Bullet14"/>
    <w:uiPriority w:val="99"/>
    <w:rPr>
      <w:rFonts w:ascii="Calibri" w:hAnsi="Calibri"/>
      <w:color w:val="000000"/>
      <w:sz w:val="24"/>
      <w:u w:val="none"/>
      <w:lang w:val="en-US" w:eastAsia="x-none"/>
    </w:rPr>
  </w:style>
  <w:style w:type="character" w:customStyle="1" w:styleId="Bullet15">
    <w:name w:val="Bullet15"/>
    <w:uiPriority w:val="99"/>
    <w:rPr>
      <w:rFonts w:ascii="Calibri" w:hAnsi="Calibri"/>
      <w:color w:val="000000"/>
      <w:sz w:val="24"/>
      <w:u w:val="none"/>
      <w:lang w:val="en-US" w:eastAsia="x-none"/>
    </w:rPr>
  </w:style>
  <w:style w:type="character" w:customStyle="1" w:styleId="Bullet16">
    <w:name w:val="Bullet16"/>
    <w:uiPriority w:val="99"/>
    <w:rPr>
      <w:rFonts w:ascii="Calibri" w:hAnsi="Calibri"/>
      <w:color w:val="000000"/>
      <w:sz w:val="24"/>
      <w:u w:val="none"/>
      <w:lang w:val="en-US" w:eastAsia="x-none"/>
    </w:rPr>
  </w:style>
  <w:style w:type="character" w:customStyle="1" w:styleId="Bullet17">
    <w:name w:val="Bullet17"/>
    <w:uiPriority w:val="99"/>
    <w:rPr>
      <w:rFonts w:ascii="Calibri" w:hAnsi="Calibri"/>
      <w:color w:val="000000"/>
      <w:sz w:val="24"/>
      <w:u w:val="none"/>
      <w:lang w:val="en-US" w:eastAsia="x-none"/>
    </w:rPr>
  </w:style>
  <w:style w:type="character" w:customStyle="1" w:styleId="Bullet18">
    <w:name w:val="Bullet18"/>
    <w:uiPriority w:val="99"/>
    <w:rPr>
      <w:rFonts w:ascii="Calibri" w:hAnsi="Calibri"/>
      <w:color w:val="000000"/>
      <w:sz w:val="24"/>
      <w:u w:val="none"/>
      <w:lang w:val="en-US" w:eastAsia="x-none"/>
    </w:rPr>
  </w:style>
  <w:style w:type="character" w:customStyle="1" w:styleId="Bullet19">
    <w:name w:val="Bullet19"/>
    <w:uiPriority w:val="99"/>
    <w:rPr>
      <w:color w:val="000000"/>
      <w:u w:val="none"/>
    </w:rPr>
  </w:style>
  <w:style w:type="character" w:customStyle="1" w:styleId="Bullet20">
    <w:name w:val="Bullet20"/>
    <w:uiPriority w:val="99"/>
    <w:rPr>
      <w:color w:val="000000"/>
      <w:u w:val="none"/>
    </w:rPr>
  </w:style>
  <w:style w:type="character" w:customStyle="1" w:styleId="Bullet21">
    <w:name w:val="Bullet21"/>
    <w:uiPriority w:val="99"/>
    <w:rPr>
      <w:color w:val="000000"/>
      <w:u w:val="none"/>
    </w:rPr>
  </w:style>
  <w:style w:type="character" w:customStyle="1" w:styleId="Bullet22">
    <w:name w:val="Bullet22"/>
    <w:uiPriority w:val="99"/>
    <w:rPr>
      <w:color w:val="000000"/>
      <w:u w:val="none"/>
    </w:rPr>
  </w:style>
  <w:style w:type="character" w:customStyle="1" w:styleId="Bullet23">
    <w:name w:val="Bullet23"/>
    <w:uiPriority w:val="99"/>
    <w:rPr>
      <w:color w:val="000000"/>
      <w:u w:val="none"/>
    </w:rPr>
  </w:style>
  <w:style w:type="character" w:customStyle="1" w:styleId="Bullet24">
    <w:name w:val="Bullet24"/>
    <w:uiPriority w:val="99"/>
    <w:rPr>
      <w:color w:val="000000"/>
      <w:u w:val="none"/>
    </w:rPr>
  </w:style>
  <w:style w:type="character" w:customStyle="1" w:styleId="Bullet25">
    <w:name w:val="Bullet25"/>
    <w:uiPriority w:val="99"/>
    <w:rPr>
      <w:color w:val="000000"/>
      <w:u w:val="none"/>
    </w:rPr>
  </w:style>
  <w:style w:type="character" w:customStyle="1" w:styleId="Bombe">
    <w:name w:val="Bombe"/>
    <w:uiPriority w:val="99"/>
    <w:rPr>
      <w:rFonts w:ascii="UniMyriad Bold" w:hAnsi="UniMyriad Bold"/>
      <w:w w:val="100"/>
      <w:u w:val="none"/>
      <w:vertAlign w:val="baseline"/>
    </w:rPr>
  </w:style>
  <w:style w:type="character" w:styleId="Fotnotereferanse">
    <w:name w:val="footnote reference"/>
    <w:basedOn w:val="Standardskriftforavsnitt"/>
    <w:uiPriority w:val="99"/>
    <w:rsid w:val="00676F59"/>
    <w:rPr>
      <w:vertAlign w:val="superscript"/>
    </w:rPr>
  </w:style>
  <w:style w:type="character" w:customStyle="1" w:styleId="gjennomstreket">
    <w:name w:val="gjennomstreket"/>
    <w:uiPriority w:val="99"/>
    <w:rPr>
      <w:strike/>
      <w:u w:val="none"/>
      <w:vertAlign w:val="baseline"/>
      <w:lang w:val="nb-NO" w:eastAsia="x-none"/>
    </w:rPr>
  </w:style>
  <w:style w:type="character" w:customStyle="1" w:styleId="halvfet0">
    <w:name w:val="halvfet"/>
    <w:rsid w:val="00676F59"/>
    <w:rPr>
      <w:b/>
    </w:rPr>
  </w:style>
  <w:style w:type="character" w:styleId="Hyperkobling">
    <w:name w:val="Hyperlink"/>
    <w:basedOn w:val="Standardskriftforavsnitt"/>
    <w:uiPriority w:val="99"/>
    <w:unhideWhenUsed/>
    <w:rsid w:val="00676F59"/>
    <w:rPr>
      <w:color w:val="0000FF"/>
      <w:u w:val="single"/>
    </w:rPr>
  </w:style>
  <w:style w:type="character" w:customStyle="1" w:styleId="kursiv">
    <w:name w:val="kursiv"/>
    <w:rsid w:val="00676F59"/>
    <w:rPr>
      <w:i/>
    </w:rPr>
  </w:style>
  <w:style w:type="character" w:customStyle="1" w:styleId="l-endring">
    <w:name w:val="l-endring"/>
    <w:rsid w:val="00676F59"/>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676F59"/>
  </w:style>
  <w:style w:type="character" w:styleId="Plassholdertekst">
    <w:name w:val="Placeholder Text"/>
    <w:basedOn w:val="Standardskriftforavsnitt"/>
    <w:uiPriority w:val="99"/>
    <w:rsid w:val="00676F59"/>
    <w:rPr>
      <w:color w:val="808080"/>
    </w:rPr>
  </w:style>
  <w:style w:type="character" w:customStyle="1" w:styleId="regular">
    <w:name w:val="regular"/>
    <w:uiPriority w:val="1"/>
    <w:qFormat/>
    <w:rsid w:val="00676F59"/>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krift-hevet">
    <w:name w:val="skrift-hevet"/>
    <w:rsid w:val="00676F59"/>
    <w:rPr>
      <w:vertAlign w:val="superscript"/>
    </w:rPr>
  </w:style>
  <w:style w:type="character" w:customStyle="1" w:styleId="skrift-senket">
    <w:name w:val="skrift-senket"/>
    <w:rsid w:val="00676F59"/>
    <w:rPr>
      <w:vertAlign w:val="subscript"/>
    </w:rPr>
  </w:style>
  <w:style w:type="character" w:customStyle="1" w:styleId="sperret0">
    <w:name w:val="sperret"/>
    <w:rsid w:val="00676F59"/>
    <w:rPr>
      <w:spacing w:val="30"/>
    </w:rPr>
  </w:style>
  <w:style w:type="character" w:customStyle="1" w:styleId="Stikkord">
    <w:name w:val="Stikkord"/>
    <w:rsid w:val="00676F59"/>
    <w:rPr>
      <w:color w:val="0000FF"/>
    </w:rPr>
  </w:style>
  <w:style w:type="character" w:customStyle="1" w:styleId="stikkord0">
    <w:name w:val="stikkord"/>
    <w:uiPriority w:val="99"/>
  </w:style>
  <w:style w:type="character" w:styleId="Sterk">
    <w:name w:val="Strong"/>
    <w:basedOn w:val="Standardskriftforavsnitt"/>
    <w:uiPriority w:val="22"/>
    <w:qFormat/>
    <w:rsid w:val="00676F59"/>
    <w:rPr>
      <w:b/>
    </w:rPr>
  </w:style>
  <w:style w:type="table" w:customStyle="1" w:styleId="Tabell-VM">
    <w:name w:val="Tabell-VM"/>
    <w:basedOn w:val="Tabelltemaer"/>
    <w:uiPriority w:val="99"/>
    <w:qFormat/>
    <w:rsid w:val="00676F59"/>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676F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76F59"/>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676F59"/>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76F59"/>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table" w:styleId="Tabellrutenett">
    <w:name w:val="Table Grid"/>
    <w:basedOn w:val="Vanligtabell"/>
    <w:uiPriority w:val="59"/>
    <w:rsid w:val="00676F59"/>
    <w:pPr>
      <w:spacing w:after="0" w:line="240" w:lineRule="auto"/>
    </w:pPr>
    <w:rPr>
      <w:rFonts w:ascii="Times" w:eastAsia="Batang" w:hAnsi="Time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andardTabell">
    <w:name w:val="StandardTabell"/>
    <w:basedOn w:val="Vanligtabell"/>
    <w:uiPriority w:val="99"/>
    <w:qFormat/>
    <w:rsid w:val="00676F59"/>
    <w:pPr>
      <w:spacing w:after="0" w:line="240"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676F59"/>
    <w:pPr>
      <w:spacing w:after="0" w:line="240"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character" w:styleId="HTML-akronym">
    <w:name w:val="HTML Acronym"/>
    <w:basedOn w:val="Standardskriftforavsnitt"/>
    <w:uiPriority w:val="99"/>
    <w:semiHidden/>
    <w:unhideWhenUsed/>
    <w:rsid w:val="00676F59"/>
  </w:style>
  <w:style w:type="character" w:styleId="Linjenummer">
    <w:name w:val="line number"/>
    <w:basedOn w:val="Standardskriftforavsnitt"/>
    <w:uiPriority w:val="99"/>
    <w:semiHidden/>
    <w:unhideWhenUsed/>
    <w:rsid w:val="00676F59"/>
  </w:style>
  <w:style w:type="numbering" w:customStyle="1" w:styleId="l-NummerertListeStil">
    <w:name w:val="l-NummerertListeStil"/>
    <w:pPr>
      <w:numPr>
        <w:numId w:val="20"/>
      </w:numPr>
    </w:pPr>
  </w:style>
  <w:style w:type="numbering" w:customStyle="1" w:styleId="OpplistingListeStil">
    <w:name w:val="OpplistingListeStil"/>
    <w:pPr>
      <w:numPr>
        <w:numId w:val="22"/>
      </w:numPr>
    </w:pPr>
  </w:style>
  <w:style w:type="numbering" w:customStyle="1" w:styleId="OverskrifterListeStil">
    <w:name w:val="OverskrifterListeStil"/>
    <w:pPr>
      <w:numPr>
        <w:numId w:val="23"/>
      </w:numPr>
    </w:pPr>
  </w:style>
  <w:style w:type="numbering" w:customStyle="1" w:styleId="NrListeStil">
    <w:name w:val="NrListeStil"/>
    <w:pPr>
      <w:numPr>
        <w:numId w:val="21"/>
      </w:numPr>
    </w:pPr>
  </w:style>
  <w:style w:type="numbering" w:customStyle="1" w:styleId="l-ListeStilMal">
    <w:name w:val="l-ListeStilMal"/>
    <w:pPr>
      <w:numPr>
        <w:numId w:val="19"/>
      </w:numPr>
    </w:pPr>
  </w:style>
  <w:style w:type="numbering" w:customStyle="1" w:styleId="RomListeStil">
    <w:name w:val="RomListeStil"/>
    <w:pPr>
      <w:numPr>
        <w:numId w:val="24"/>
      </w:numPr>
    </w:pPr>
  </w:style>
  <w:style w:type="numbering" w:customStyle="1" w:styleId="l-AlfaListeStil">
    <w:name w:val="l-AlfaListeStil"/>
    <w:pPr>
      <w:numPr>
        <w:numId w:val="18"/>
      </w:numPr>
    </w:pPr>
  </w:style>
  <w:style w:type="numbering" w:customStyle="1" w:styleId="AlfaListeStil">
    <w:name w:val="AlfaListeStil"/>
    <w:pPr>
      <w:numPr>
        <w:numId w:val="17"/>
      </w:numPr>
    </w:pPr>
  </w:style>
  <w:style w:type="numbering" w:customStyle="1" w:styleId="StrekListeStil">
    <w:name w:val="StrekListeStil"/>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line number" w:unhideWhenUsed="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qFormat="1"/>
    <w:lsdException w:name="Default Paragraph Font" w:uiPriority="1"/>
    <w:lsdException w:name="Body Text" w:uiPriority="0"/>
    <w:lsdException w:name="Subtitle" w:semiHidden="0" w:uiPriority="0" w:qFormat="1"/>
    <w:lsdException w:name="Date" w:uiPriority="0"/>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676F59"/>
    <w:pPr>
      <w:spacing w:after="120" w:line="240" w:lineRule="auto"/>
    </w:pPr>
    <w:rPr>
      <w:rFonts w:ascii="Times" w:eastAsia="Batang" w:hAnsi="Times"/>
      <w:sz w:val="24"/>
      <w:szCs w:val="20"/>
    </w:rPr>
  </w:style>
  <w:style w:type="paragraph" w:styleId="Overskrift1">
    <w:name w:val="heading 1"/>
    <w:basedOn w:val="Normal"/>
    <w:next w:val="Normal"/>
    <w:link w:val="Overskrift1Tegn"/>
    <w:uiPriority w:val="9"/>
    <w:qFormat/>
    <w:rsid w:val="00676F59"/>
    <w:pPr>
      <w:keepNext/>
      <w:numPr>
        <w:numId w:val="29"/>
      </w:numPr>
      <w:spacing w:before="360" w:after="80"/>
      <w:jc w:val="center"/>
      <w:outlineLvl w:val="0"/>
    </w:pPr>
    <w:rPr>
      <w:rFonts w:ascii="Arial" w:hAnsi="Arial"/>
      <w:b/>
      <w:kern w:val="28"/>
      <w:sz w:val="32"/>
    </w:rPr>
  </w:style>
  <w:style w:type="paragraph" w:styleId="Overskrift2">
    <w:name w:val="heading 2"/>
    <w:basedOn w:val="Normal"/>
    <w:next w:val="Normal"/>
    <w:link w:val="Overskrift2Tegn"/>
    <w:uiPriority w:val="9"/>
    <w:qFormat/>
    <w:rsid w:val="00676F59"/>
    <w:pPr>
      <w:keepNext/>
      <w:numPr>
        <w:ilvl w:val="1"/>
        <w:numId w:val="29"/>
      </w:numPr>
      <w:spacing w:before="360" w:after="80"/>
      <w:outlineLvl w:val="1"/>
    </w:pPr>
    <w:rPr>
      <w:rFonts w:ascii="Arial" w:hAnsi="Arial"/>
      <w:b/>
      <w:sz w:val="26"/>
    </w:rPr>
  </w:style>
  <w:style w:type="paragraph" w:styleId="Overskrift3">
    <w:name w:val="heading 3"/>
    <w:basedOn w:val="Normal"/>
    <w:next w:val="Normal"/>
    <w:link w:val="Overskrift3Tegn"/>
    <w:uiPriority w:val="9"/>
    <w:qFormat/>
    <w:rsid w:val="00676F59"/>
    <w:pPr>
      <w:keepNext/>
      <w:numPr>
        <w:ilvl w:val="2"/>
        <w:numId w:val="29"/>
      </w:numPr>
      <w:spacing w:before="200" w:after="80"/>
      <w:outlineLvl w:val="2"/>
    </w:pPr>
    <w:rPr>
      <w:rFonts w:ascii="Arial" w:hAnsi="Arial"/>
      <w:b/>
    </w:rPr>
  </w:style>
  <w:style w:type="paragraph" w:styleId="Overskrift4">
    <w:name w:val="heading 4"/>
    <w:basedOn w:val="Normal"/>
    <w:next w:val="Normal"/>
    <w:link w:val="Overskrift4Tegn"/>
    <w:uiPriority w:val="9"/>
    <w:qFormat/>
    <w:rsid w:val="00676F59"/>
    <w:pPr>
      <w:keepNext/>
      <w:numPr>
        <w:ilvl w:val="3"/>
        <w:numId w:val="29"/>
      </w:numPr>
      <w:spacing w:before="120" w:after="80"/>
      <w:outlineLvl w:val="3"/>
    </w:pPr>
    <w:rPr>
      <w:rFonts w:ascii="Arial" w:hAnsi="Arial"/>
      <w:i/>
    </w:rPr>
  </w:style>
  <w:style w:type="paragraph" w:styleId="Overskrift5">
    <w:name w:val="heading 5"/>
    <w:basedOn w:val="Normal"/>
    <w:next w:val="Normal"/>
    <w:link w:val="Overskrift5Tegn"/>
    <w:uiPriority w:val="9"/>
    <w:qFormat/>
    <w:rsid w:val="00676F59"/>
    <w:pPr>
      <w:keepNext/>
      <w:numPr>
        <w:ilvl w:val="4"/>
        <w:numId w:val="29"/>
      </w:numPr>
      <w:spacing w:before="120" w:after="0" w:line="276" w:lineRule="auto"/>
      <w:outlineLvl w:val="4"/>
    </w:pPr>
    <w:rPr>
      <w:rFonts w:ascii="Arial" w:eastAsiaTheme="minorEastAsia" w:hAnsi="Arial"/>
      <w:i/>
      <w:szCs w:val="22"/>
    </w:rPr>
  </w:style>
  <w:style w:type="paragraph" w:styleId="Overskrift6">
    <w:name w:val="heading 6"/>
    <w:basedOn w:val="Normal"/>
    <w:next w:val="Normal"/>
    <w:link w:val="Overskrift6Tegn"/>
    <w:uiPriority w:val="9"/>
    <w:qFormat/>
    <w:rsid w:val="00676F59"/>
    <w:pPr>
      <w:numPr>
        <w:ilvl w:val="5"/>
        <w:numId w:val="11"/>
      </w:numPr>
      <w:spacing w:before="240" w:after="60"/>
      <w:outlineLvl w:val="5"/>
    </w:pPr>
    <w:rPr>
      <w:i/>
      <w:sz w:val="22"/>
    </w:rPr>
  </w:style>
  <w:style w:type="paragraph" w:styleId="Overskrift7">
    <w:name w:val="heading 7"/>
    <w:basedOn w:val="Normal"/>
    <w:next w:val="Normal"/>
    <w:link w:val="Overskrift7Tegn"/>
    <w:uiPriority w:val="9"/>
    <w:qFormat/>
    <w:rsid w:val="00676F59"/>
    <w:pPr>
      <w:numPr>
        <w:ilvl w:val="6"/>
        <w:numId w:val="11"/>
      </w:numPr>
      <w:spacing w:before="240" w:after="60"/>
      <w:outlineLvl w:val="6"/>
    </w:pPr>
    <w:rPr>
      <w:rFonts w:ascii="Arial" w:hAnsi="Arial"/>
      <w:sz w:val="20"/>
    </w:rPr>
  </w:style>
  <w:style w:type="paragraph" w:styleId="Overskrift8">
    <w:name w:val="heading 8"/>
    <w:basedOn w:val="Normal"/>
    <w:next w:val="Normal"/>
    <w:link w:val="Overskrift8Tegn"/>
    <w:uiPriority w:val="9"/>
    <w:qFormat/>
    <w:rsid w:val="00676F59"/>
    <w:pPr>
      <w:numPr>
        <w:ilvl w:val="7"/>
        <w:numId w:val="11"/>
      </w:numPr>
      <w:spacing w:before="240" w:after="60"/>
      <w:outlineLvl w:val="7"/>
    </w:pPr>
    <w:rPr>
      <w:rFonts w:ascii="Arial" w:hAnsi="Arial"/>
      <w:i/>
      <w:sz w:val="20"/>
    </w:rPr>
  </w:style>
  <w:style w:type="paragraph" w:styleId="Overskrift9">
    <w:name w:val="heading 9"/>
    <w:basedOn w:val="Normal"/>
    <w:next w:val="Normal"/>
    <w:link w:val="Overskrift9Tegn"/>
    <w:uiPriority w:val="9"/>
    <w:qFormat/>
    <w:rsid w:val="00676F59"/>
    <w:pPr>
      <w:numPr>
        <w:ilvl w:val="8"/>
        <w:numId w:val="11"/>
      </w:numPr>
      <w:spacing w:before="240"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676F59"/>
    <w:rPr>
      <w:rFonts w:ascii="Arial" w:eastAsia="Batang" w:hAnsi="Arial"/>
      <w:b/>
      <w:kern w:val="28"/>
      <w:sz w:val="32"/>
      <w:szCs w:val="20"/>
    </w:rPr>
  </w:style>
  <w:style w:type="character" w:customStyle="1" w:styleId="Overskrift2Tegn">
    <w:name w:val="Overskrift 2 Tegn"/>
    <w:basedOn w:val="Standardskriftforavsnitt"/>
    <w:link w:val="Overskrift2"/>
    <w:uiPriority w:val="9"/>
    <w:locked/>
    <w:rsid w:val="00676F59"/>
    <w:rPr>
      <w:rFonts w:ascii="Arial" w:eastAsia="Batang" w:hAnsi="Arial"/>
      <w:b/>
      <w:sz w:val="26"/>
      <w:szCs w:val="20"/>
    </w:rPr>
  </w:style>
  <w:style w:type="character" w:customStyle="1" w:styleId="Overskrift3Tegn">
    <w:name w:val="Overskrift 3 Tegn"/>
    <w:basedOn w:val="Standardskriftforavsnitt"/>
    <w:link w:val="Overskrift3"/>
    <w:uiPriority w:val="9"/>
    <w:locked/>
    <w:rsid w:val="00676F59"/>
    <w:rPr>
      <w:rFonts w:ascii="Arial" w:eastAsia="Batang" w:hAnsi="Arial"/>
      <w:b/>
      <w:sz w:val="24"/>
      <w:szCs w:val="20"/>
    </w:rPr>
  </w:style>
  <w:style w:type="character" w:customStyle="1" w:styleId="Overskrift4Tegn">
    <w:name w:val="Overskrift 4 Tegn"/>
    <w:basedOn w:val="Standardskriftforavsnitt"/>
    <w:link w:val="Overskrift4"/>
    <w:uiPriority w:val="9"/>
    <w:locked/>
    <w:rsid w:val="00676F59"/>
    <w:rPr>
      <w:rFonts w:ascii="Arial" w:eastAsia="Batang" w:hAnsi="Arial"/>
      <w:i/>
      <w:sz w:val="24"/>
      <w:szCs w:val="20"/>
    </w:rPr>
  </w:style>
  <w:style w:type="character" w:customStyle="1" w:styleId="Overskrift5Tegn">
    <w:name w:val="Overskrift 5 Tegn"/>
    <w:basedOn w:val="Standardskriftforavsnitt"/>
    <w:link w:val="Overskrift5"/>
    <w:uiPriority w:val="9"/>
    <w:locked/>
    <w:rsid w:val="00676F59"/>
    <w:rPr>
      <w:rFonts w:ascii="Arial" w:hAnsi="Arial"/>
      <w:i/>
      <w:sz w:val="24"/>
    </w:rPr>
  </w:style>
  <w:style w:type="character" w:customStyle="1" w:styleId="Overskrift6Tegn">
    <w:name w:val="Overskrift 6 Tegn"/>
    <w:basedOn w:val="Standardskriftforavsnitt"/>
    <w:link w:val="Overskrift6"/>
    <w:uiPriority w:val="9"/>
    <w:locked/>
    <w:rsid w:val="00676F59"/>
    <w:rPr>
      <w:rFonts w:ascii="Times" w:eastAsia="Batang" w:hAnsi="Times"/>
      <w:i/>
      <w:szCs w:val="20"/>
    </w:rPr>
  </w:style>
  <w:style w:type="character" w:customStyle="1" w:styleId="Overskrift7Tegn">
    <w:name w:val="Overskrift 7 Tegn"/>
    <w:basedOn w:val="Standardskriftforavsnitt"/>
    <w:link w:val="Overskrift7"/>
    <w:uiPriority w:val="9"/>
    <w:locked/>
    <w:rsid w:val="00676F59"/>
    <w:rPr>
      <w:rFonts w:ascii="Arial" w:eastAsia="Batang" w:hAnsi="Arial"/>
      <w:sz w:val="20"/>
      <w:szCs w:val="20"/>
    </w:rPr>
  </w:style>
  <w:style w:type="character" w:customStyle="1" w:styleId="Overskrift8Tegn">
    <w:name w:val="Overskrift 8 Tegn"/>
    <w:basedOn w:val="Standardskriftforavsnitt"/>
    <w:link w:val="Overskrift8"/>
    <w:uiPriority w:val="9"/>
    <w:locked/>
    <w:rsid w:val="00676F59"/>
    <w:rPr>
      <w:rFonts w:ascii="Arial" w:eastAsia="Batang" w:hAnsi="Arial"/>
      <w:i/>
      <w:sz w:val="20"/>
      <w:szCs w:val="20"/>
    </w:rPr>
  </w:style>
  <w:style w:type="character" w:customStyle="1" w:styleId="Overskrift9Tegn">
    <w:name w:val="Overskrift 9 Tegn"/>
    <w:basedOn w:val="Standardskriftforavsnitt"/>
    <w:link w:val="Overskrift9"/>
    <w:uiPriority w:val="9"/>
    <w:locked/>
    <w:rsid w:val="00676F59"/>
    <w:rPr>
      <w:rFonts w:ascii="Arial" w:eastAsia="Batang" w:hAnsi="Arial"/>
      <w:b/>
      <w:i/>
      <w:sz w:val="18"/>
      <w:szCs w:val="20"/>
    </w:rPr>
  </w:style>
  <w:style w:type="paragraph" w:styleId="Brdtekst">
    <w:name w:val="Body Text"/>
    <w:basedOn w:val="Normal"/>
    <w:link w:val="BrdtekstTegn"/>
    <w:uiPriority w:val="99"/>
    <w:rsid w:val="00676F59"/>
    <w:pPr>
      <w:spacing w:before="120"/>
    </w:pPr>
  </w:style>
  <w:style w:type="character" w:customStyle="1" w:styleId="BrdtekstTegn">
    <w:name w:val="Brødtekst Tegn"/>
    <w:basedOn w:val="Standardskriftforavsnitt"/>
    <w:link w:val="Brdtekst"/>
    <w:uiPriority w:val="99"/>
    <w:locked/>
    <w:rsid w:val="00676F59"/>
    <w:rPr>
      <w:rFonts w:ascii="Times" w:eastAsia="Batang" w:hAnsi="Times"/>
      <w:sz w:val="20"/>
    </w:rPr>
  </w:style>
  <w:style w:type="paragraph" w:styleId="Bunntekst">
    <w:name w:val="footer"/>
    <w:basedOn w:val="Normal"/>
    <w:link w:val="BunntekstTegn"/>
    <w:uiPriority w:val="99"/>
    <w:rsid w:val="00676F59"/>
    <w:pPr>
      <w:tabs>
        <w:tab w:val="center" w:pos="4153"/>
        <w:tab w:val="right" w:pos="8306"/>
      </w:tabs>
    </w:pPr>
    <w:rPr>
      <w:spacing w:val="4"/>
      <w:sz w:val="20"/>
    </w:rPr>
  </w:style>
  <w:style w:type="character" w:customStyle="1" w:styleId="BunntekstTegn">
    <w:name w:val="Bunntekst Tegn"/>
    <w:basedOn w:val="Standardskriftforavsnitt"/>
    <w:link w:val="Bunntekst"/>
    <w:uiPriority w:val="99"/>
    <w:locked/>
    <w:rsid w:val="00676F59"/>
    <w:rPr>
      <w:rFonts w:ascii="Times" w:eastAsia="Batang" w:hAnsi="Times"/>
      <w:spacing w:val="4"/>
      <w:sz w:val="20"/>
    </w:rPr>
  </w:style>
  <w:style w:type="paragraph" w:styleId="Dato">
    <w:name w:val="Date"/>
    <w:basedOn w:val="Normal"/>
    <w:next w:val="Normal"/>
    <w:link w:val="DatoTegn"/>
    <w:uiPriority w:val="99"/>
    <w:rsid w:val="00676F59"/>
  </w:style>
  <w:style w:type="character" w:customStyle="1" w:styleId="DatoTegn">
    <w:name w:val="Dato Tegn"/>
    <w:basedOn w:val="Standardskriftforavsnitt"/>
    <w:link w:val="Dato"/>
    <w:uiPriority w:val="99"/>
    <w:locked/>
    <w:rsid w:val="00676F59"/>
    <w:rPr>
      <w:rFonts w:ascii="Times" w:eastAsia="Batang" w:hAnsi="Times"/>
      <w:sz w:val="20"/>
    </w:rPr>
  </w:style>
  <w:style w:type="paragraph" w:styleId="Fotnotetekst">
    <w:name w:val="footnote text"/>
    <w:basedOn w:val="Normal"/>
    <w:link w:val="FotnotetekstTegn"/>
    <w:uiPriority w:val="99"/>
    <w:rsid w:val="00676F59"/>
    <w:rPr>
      <w:sz w:val="20"/>
    </w:rPr>
  </w:style>
  <w:style w:type="character" w:customStyle="1" w:styleId="FotnotetekstTegn">
    <w:name w:val="Fotnotetekst Tegn"/>
    <w:basedOn w:val="Standardskriftforavsnitt"/>
    <w:link w:val="Fotnotetekst"/>
    <w:uiPriority w:val="99"/>
    <w:locked/>
    <w:rsid w:val="00676F59"/>
    <w:rPr>
      <w:rFonts w:ascii="Times" w:eastAsia="Batang" w:hAnsi="Times"/>
      <w:sz w:val="20"/>
    </w:rPr>
  </w:style>
  <w:style w:type="paragraph" w:styleId="INNH1">
    <w:name w:val="toc 1"/>
    <w:basedOn w:val="Normal"/>
    <w:next w:val="Normal"/>
    <w:autoRedefine/>
    <w:uiPriority w:val="39"/>
    <w:rsid w:val="00676F59"/>
    <w:pPr>
      <w:tabs>
        <w:tab w:val="right" w:leader="dot" w:pos="8306"/>
      </w:tabs>
    </w:pPr>
  </w:style>
  <w:style w:type="paragraph" w:styleId="INNH2">
    <w:name w:val="toc 2"/>
    <w:basedOn w:val="Normal"/>
    <w:next w:val="Normal"/>
    <w:autoRedefine/>
    <w:uiPriority w:val="39"/>
    <w:rsid w:val="00676F59"/>
    <w:pPr>
      <w:tabs>
        <w:tab w:val="right" w:leader="dot" w:pos="8306"/>
      </w:tabs>
      <w:ind w:left="200"/>
    </w:pPr>
  </w:style>
  <w:style w:type="paragraph" w:styleId="INNH3">
    <w:name w:val="toc 3"/>
    <w:basedOn w:val="Normal"/>
    <w:next w:val="Normal"/>
    <w:autoRedefine/>
    <w:uiPriority w:val="39"/>
    <w:rsid w:val="00676F59"/>
    <w:pPr>
      <w:tabs>
        <w:tab w:val="right" w:leader="dot" w:pos="8306"/>
      </w:tabs>
      <w:ind w:left="400"/>
    </w:pPr>
  </w:style>
  <w:style w:type="paragraph" w:styleId="INNH4">
    <w:name w:val="toc 4"/>
    <w:basedOn w:val="Normal"/>
    <w:next w:val="Normal"/>
    <w:autoRedefine/>
    <w:uiPriority w:val="39"/>
    <w:rsid w:val="00676F59"/>
    <w:pPr>
      <w:tabs>
        <w:tab w:val="right" w:leader="dot" w:pos="8306"/>
      </w:tabs>
      <w:ind w:left="600"/>
    </w:pPr>
  </w:style>
  <w:style w:type="paragraph" w:styleId="INNH5">
    <w:name w:val="toc 5"/>
    <w:basedOn w:val="Normal"/>
    <w:next w:val="Normal"/>
    <w:autoRedefine/>
    <w:uiPriority w:val="39"/>
    <w:rsid w:val="00676F59"/>
    <w:pPr>
      <w:tabs>
        <w:tab w:val="right" w:leader="dot" w:pos="8306"/>
      </w:tabs>
      <w:ind w:left="800"/>
    </w:pPr>
  </w:style>
  <w:style w:type="paragraph" w:styleId="Liste">
    <w:name w:val="List"/>
    <w:basedOn w:val="Normal"/>
    <w:uiPriority w:val="99"/>
    <w:rsid w:val="00676F59"/>
    <w:pPr>
      <w:numPr>
        <w:numId w:val="25"/>
      </w:numPr>
      <w:contextualSpacing/>
    </w:pPr>
    <w:rPr>
      <w:rFonts w:ascii="Times New Roman" w:eastAsiaTheme="minorEastAsia" w:hAnsi="Times New Roman"/>
      <w:spacing w:val="4"/>
      <w:szCs w:val="22"/>
    </w:rPr>
  </w:style>
  <w:style w:type="paragraph" w:styleId="Liste2">
    <w:name w:val="List 2"/>
    <w:basedOn w:val="Normal"/>
    <w:uiPriority w:val="99"/>
    <w:rsid w:val="00676F59"/>
    <w:pPr>
      <w:numPr>
        <w:ilvl w:val="1"/>
        <w:numId w:val="25"/>
      </w:numPr>
      <w:spacing w:after="0" w:line="276" w:lineRule="auto"/>
    </w:pPr>
    <w:rPr>
      <w:rFonts w:ascii="Times New Roman" w:eastAsiaTheme="minorEastAsia" w:hAnsi="Times New Roman"/>
      <w:spacing w:val="4"/>
      <w:szCs w:val="22"/>
    </w:rPr>
  </w:style>
  <w:style w:type="paragraph" w:styleId="Liste3">
    <w:name w:val="List 3"/>
    <w:basedOn w:val="Normal"/>
    <w:uiPriority w:val="99"/>
    <w:rsid w:val="00676F59"/>
    <w:pPr>
      <w:numPr>
        <w:ilvl w:val="2"/>
        <w:numId w:val="25"/>
      </w:numPr>
      <w:spacing w:after="0" w:line="276" w:lineRule="auto"/>
    </w:pPr>
    <w:rPr>
      <w:rFonts w:ascii="Times New Roman" w:eastAsiaTheme="minorEastAsia" w:hAnsi="Times New Roman"/>
      <w:szCs w:val="22"/>
    </w:rPr>
  </w:style>
  <w:style w:type="paragraph" w:styleId="Liste4">
    <w:name w:val="List 4"/>
    <w:basedOn w:val="Normal"/>
    <w:uiPriority w:val="99"/>
    <w:rsid w:val="00676F59"/>
    <w:pPr>
      <w:numPr>
        <w:ilvl w:val="3"/>
        <w:numId w:val="25"/>
      </w:numPr>
      <w:spacing w:after="0" w:line="276" w:lineRule="auto"/>
    </w:pPr>
    <w:rPr>
      <w:rFonts w:ascii="Times New Roman" w:eastAsiaTheme="minorEastAsia" w:hAnsi="Times New Roman"/>
      <w:szCs w:val="22"/>
    </w:rPr>
  </w:style>
  <w:style w:type="paragraph" w:styleId="Liste5">
    <w:name w:val="List 5"/>
    <w:basedOn w:val="Normal"/>
    <w:uiPriority w:val="99"/>
    <w:rsid w:val="00676F59"/>
    <w:pPr>
      <w:numPr>
        <w:ilvl w:val="4"/>
        <w:numId w:val="25"/>
      </w:numPr>
      <w:spacing w:after="0" w:line="276" w:lineRule="auto"/>
    </w:pPr>
    <w:rPr>
      <w:rFonts w:ascii="Times New Roman" w:eastAsiaTheme="minorEastAsia" w:hAnsi="Times New Roman"/>
      <w:szCs w:val="22"/>
    </w:rPr>
  </w:style>
  <w:style w:type="paragraph" w:styleId="Merknadstekst">
    <w:name w:val="annotation text"/>
    <w:basedOn w:val="Normal"/>
    <w:link w:val="MerknadstekstTegn"/>
    <w:uiPriority w:val="99"/>
    <w:rsid w:val="00676F59"/>
    <w:rPr>
      <w:sz w:val="20"/>
    </w:rPr>
  </w:style>
  <w:style w:type="character" w:customStyle="1" w:styleId="MerknadstekstTegn">
    <w:name w:val="Merknadstekst Tegn"/>
    <w:basedOn w:val="Standardskriftforavsnitt"/>
    <w:link w:val="Merknadstekst"/>
    <w:uiPriority w:val="99"/>
    <w:locked/>
    <w:rsid w:val="00676F59"/>
    <w:rPr>
      <w:rFonts w:ascii="Times" w:eastAsia="Batang" w:hAnsi="Times"/>
      <w:sz w:val="20"/>
    </w:rPr>
  </w:style>
  <w:style w:type="paragraph" w:styleId="NormalWeb">
    <w:name w:val="Normal (Web)"/>
    <w:basedOn w:val="Normal"/>
    <w:uiPriority w:val="99"/>
    <w:unhideWhenUsed/>
    <w:rsid w:val="00676F59"/>
    <w:rPr>
      <w:szCs w:val="24"/>
    </w:rPr>
  </w:style>
  <w:style w:type="paragraph" w:styleId="Nummerertliste">
    <w:name w:val="List Number"/>
    <w:basedOn w:val="Normal"/>
    <w:uiPriority w:val="99"/>
    <w:rsid w:val="00676F59"/>
    <w:pPr>
      <w:numPr>
        <w:numId w:val="21"/>
      </w:numPr>
      <w:spacing w:after="0" w:line="276" w:lineRule="auto"/>
    </w:pPr>
  </w:style>
  <w:style w:type="paragraph" w:styleId="Nummerertliste2">
    <w:name w:val="List Number 2"/>
    <w:basedOn w:val="Normal"/>
    <w:uiPriority w:val="99"/>
    <w:rsid w:val="00676F59"/>
    <w:pPr>
      <w:numPr>
        <w:ilvl w:val="1"/>
        <w:numId w:val="21"/>
      </w:numPr>
      <w:spacing w:after="0"/>
    </w:pPr>
  </w:style>
  <w:style w:type="paragraph" w:styleId="Nummerertliste3">
    <w:name w:val="List Number 3"/>
    <w:basedOn w:val="Normal"/>
    <w:uiPriority w:val="99"/>
    <w:rsid w:val="00676F59"/>
    <w:pPr>
      <w:numPr>
        <w:ilvl w:val="2"/>
        <w:numId w:val="21"/>
      </w:numPr>
      <w:spacing w:after="0"/>
    </w:pPr>
  </w:style>
  <w:style w:type="paragraph" w:styleId="Nummerertliste4">
    <w:name w:val="List Number 4"/>
    <w:basedOn w:val="Normal"/>
    <w:uiPriority w:val="99"/>
    <w:rsid w:val="00676F59"/>
    <w:pPr>
      <w:numPr>
        <w:ilvl w:val="3"/>
        <w:numId w:val="21"/>
      </w:numPr>
      <w:spacing w:after="0"/>
    </w:pPr>
  </w:style>
  <w:style w:type="paragraph" w:styleId="Nummerertliste5">
    <w:name w:val="List Number 5"/>
    <w:basedOn w:val="Normal"/>
    <w:uiPriority w:val="99"/>
    <w:rsid w:val="00676F59"/>
    <w:pPr>
      <w:numPr>
        <w:ilvl w:val="4"/>
        <w:numId w:val="21"/>
      </w:numPr>
      <w:spacing w:after="0"/>
    </w:pPr>
  </w:style>
  <w:style w:type="paragraph" w:styleId="Punktmerketliste">
    <w:name w:val="List Bullet"/>
    <w:basedOn w:val="Normal"/>
    <w:autoRedefine/>
    <w:uiPriority w:val="99"/>
    <w:rsid w:val="00676F59"/>
    <w:pPr>
      <w:numPr>
        <w:numId w:val="12"/>
      </w:numPr>
      <w:spacing w:after="0"/>
    </w:pPr>
  </w:style>
  <w:style w:type="paragraph" w:styleId="Punktmerketliste2">
    <w:name w:val="List Bullet 2"/>
    <w:basedOn w:val="Normal"/>
    <w:uiPriority w:val="99"/>
    <w:rsid w:val="00676F59"/>
    <w:pPr>
      <w:numPr>
        <w:numId w:val="13"/>
      </w:numPr>
      <w:spacing w:after="0"/>
    </w:pPr>
  </w:style>
  <w:style w:type="paragraph" w:styleId="Punktmerketliste3">
    <w:name w:val="List Bullet 3"/>
    <w:basedOn w:val="Normal"/>
    <w:autoRedefine/>
    <w:uiPriority w:val="99"/>
    <w:rsid w:val="00676F59"/>
    <w:pPr>
      <w:numPr>
        <w:numId w:val="14"/>
      </w:numPr>
      <w:spacing w:after="0"/>
    </w:pPr>
  </w:style>
  <w:style w:type="paragraph" w:styleId="Punktmerketliste4">
    <w:name w:val="List Bullet 4"/>
    <w:basedOn w:val="Normal"/>
    <w:uiPriority w:val="99"/>
    <w:rsid w:val="00676F59"/>
    <w:pPr>
      <w:numPr>
        <w:numId w:val="15"/>
      </w:numPr>
      <w:spacing w:after="0"/>
    </w:pPr>
  </w:style>
  <w:style w:type="paragraph" w:styleId="Punktmerketliste5">
    <w:name w:val="List Bullet 5"/>
    <w:basedOn w:val="Normal"/>
    <w:uiPriority w:val="99"/>
    <w:rsid w:val="00676F59"/>
    <w:pPr>
      <w:numPr>
        <w:numId w:val="16"/>
      </w:numPr>
      <w:spacing w:after="0"/>
    </w:pPr>
  </w:style>
  <w:style w:type="paragraph" w:styleId="Rentekst">
    <w:name w:val="Plain Text"/>
    <w:basedOn w:val="Normal"/>
    <w:link w:val="RentekstTegn"/>
    <w:uiPriority w:val="99"/>
    <w:unhideWhenUsed/>
    <w:rsid w:val="00676F59"/>
    <w:rPr>
      <w:rFonts w:ascii="Courier New" w:hAnsi="Courier New" w:cs="Courier New"/>
      <w:sz w:val="20"/>
    </w:rPr>
  </w:style>
  <w:style w:type="character" w:customStyle="1" w:styleId="RentekstTegn">
    <w:name w:val="Ren tekst Tegn"/>
    <w:basedOn w:val="Standardskriftforavsnitt"/>
    <w:link w:val="Rentekst"/>
    <w:uiPriority w:val="99"/>
    <w:locked/>
    <w:rsid w:val="00676F59"/>
    <w:rPr>
      <w:rFonts w:ascii="Courier New" w:eastAsia="Batang" w:hAnsi="Courier New"/>
      <w:sz w:val="20"/>
    </w:rPr>
  </w:style>
  <w:style w:type="paragraph" w:customStyle="1" w:styleId="tblRad">
    <w:name w:val="tblRad"/>
    <w:rsid w:val="00676F59"/>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676F59"/>
  </w:style>
  <w:style w:type="paragraph" w:customStyle="1" w:styleId="tbl2LinjeSumBold">
    <w:name w:val="tbl2LinjeSumBold"/>
    <w:basedOn w:val="tblRad"/>
    <w:rsid w:val="00676F59"/>
    <w:rPr>
      <w:b/>
    </w:rPr>
  </w:style>
  <w:style w:type="paragraph" w:customStyle="1" w:styleId="tblDelsum1">
    <w:name w:val="tblDelsum1"/>
    <w:basedOn w:val="tblRad"/>
    <w:rsid w:val="00676F59"/>
    <w:rPr>
      <w:i/>
    </w:rPr>
  </w:style>
  <w:style w:type="paragraph" w:customStyle="1" w:styleId="tblDelsum1-Kapittel">
    <w:name w:val="tblDelsum1 - Kapittel"/>
    <w:basedOn w:val="tblDelsum1"/>
    <w:rsid w:val="00676F59"/>
    <w:pPr>
      <w:keepNext w:val="0"/>
    </w:pPr>
  </w:style>
  <w:style w:type="paragraph" w:customStyle="1" w:styleId="tblDelsum2">
    <w:name w:val="tblDelsum2"/>
    <w:basedOn w:val="tblRad"/>
    <w:rsid w:val="00676F59"/>
    <w:rPr>
      <w:b/>
      <w:i/>
    </w:rPr>
  </w:style>
  <w:style w:type="paragraph" w:customStyle="1" w:styleId="tblDelsum2-Kapittel">
    <w:name w:val="tblDelsum2 - Kapittel"/>
    <w:basedOn w:val="tblDelsum2"/>
    <w:rsid w:val="00676F59"/>
    <w:pPr>
      <w:keepNext w:val="0"/>
    </w:pPr>
  </w:style>
  <w:style w:type="paragraph" w:customStyle="1" w:styleId="tblTabelloverskrift">
    <w:name w:val="tblTabelloverskrift"/>
    <w:rsid w:val="00676F59"/>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676F59"/>
    <w:pPr>
      <w:spacing w:after="0"/>
      <w:jc w:val="right"/>
    </w:pPr>
    <w:rPr>
      <w:b w:val="0"/>
      <w:caps w:val="0"/>
      <w:sz w:val="16"/>
    </w:rPr>
  </w:style>
  <w:style w:type="paragraph" w:customStyle="1" w:styleId="tblKategoriOverskrift">
    <w:name w:val="tblKategoriOverskrift"/>
    <w:basedOn w:val="tblRad"/>
    <w:rsid w:val="00676F59"/>
    <w:pPr>
      <w:spacing w:before="120"/>
    </w:pPr>
    <w:rPr>
      <w:b/>
    </w:rPr>
  </w:style>
  <w:style w:type="paragraph" w:customStyle="1" w:styleId="tblKolonneoverskrift">
    <w:name w:val="tblKolonneoverskrift"/>
    <w:basedOn w:val="Normal"/>
    <w:rsid w:val="00676F59"/>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676F59"/>
    <w:pPr>
      <w:spacing w:after="360"/>
      <w:jc w:val="center"/>
    </w:pPr>
    <w:rPr>
      <w:b w:val="0"/>
      <w:caps w:val="0"/>
    </w:rPr>
  </w:style>
  <w:style w:type="paragraph" w:customStyle="1" w:styleId="tblKolonneoverskrift-Vedtak">
    <w:name w:val="tblKolonneoverskrift - Vedtak"/>
    <w:basedOn w:val="tblTabelloverskrift-Vedtak"/>
    <w:rsid w:val="00676F59"/>
    <w:pPr>
      <w:spacing w:after="0"/>
    </w:pPr>
  </w:style>
  <w:style w:type="paragraph" w:customStyle="1" w:styleId="tblOverskrift-Vedtak">
    <w:name w:val="tblOverskrift - Vedtak"/>
    <w:basedOn w:val="tblRad"/>
    <w:rsid w:val="00676F59"/>
    <w:pPr>
      <w:spacing w:before="360"/>
      <w:jc w:val="center"/>
    </w:pPr>
  </w:style>
  <w:style w:type="paragraph" w:customStyle="1" w:styleId="tblRadBold">
    <w:name w:val="tblRadBold"/>
    <w:basedOn w:val="tblRad"/>
    <w:rsid w:val="00676F59"/>
    <w:rPr>
      <w:b/>
    </w:rPr>
  </w:style>
  <w:style w:type="paragraph" w:customStyle="1" w:styleId="tblRadItalic">
    <w:name w:val="tblRadItalic"/>
    <w:basedOn w:val="tblRad"/>
    <w:rsid w:val="00676F59"/>
    <w:rPr>
      <w:i/>
    </w:rPr>
  </w:style>
  <w:style w:type="paragraph" w:customStyle="1" w:styleId="tblRadItalicSiste">
    <w:name w:val="tblRadItalicSiste"/>
    <w:basedOn w:val="tblRadItalic"/>
    <w:rsid w:val="00676F59"/>
  </w:style>
  <w:style w:type="paragraph" w:customStyle="1" w:styleId="tblRadMedLuft">
    <w:name w:val="tblRadMedLuft"/>
    <w:basedOn w:val="tblRad"/>
    <w:rsid w:val="00676F59"/>
    <w:pPr>
      <w:spacing w:before="120"/>
    </w:pPr>
  </w:style>
  <w:style w:type="paragraph" w:customStyle="1" w:styleId="tblRadMedLuftSiste">
    <w:name w:val="tblRadMedLuftSiste"/>
    <w:basedOn w:val="tblRadMedLuft"/>
    <w:rsid w:val="00676F59"/>
    <w:pPr>
      <w:spacing w:after="120"/>
    </w:pPr>
  </w:style>
  <w:style w:type="paragraph" w:customStyle="1" w:styleId="tblRadMedLuftSiste-Vedtak">
    <w:name w:val="tblRadMedLuftSiste - Vedtak"/>
    <w:basedOn w:val="tblRadMedLuftSiste"/>
    <w:rsid w:val="00676F59"/>
    <w:pPr>
      <w:keepNext w:val="0"/>
    </w:pPr>
  </w:style>
  <w:style w:type="paragraph" w:customStyle="1" w:styleId="tblRadSiste">
    <w:name w:val="tblRadSiste"/>
    <w:basedOn w:val="tblRad"/>
    <w:rsid w:val="00676F59"/>
  </w:style>
  <w:style w:type="paragraph" w:customStyle="1" w:styleId="tblSluttsum">
    <w:name w:val="tblSluttsum"/>
    <w:basedOn w:val="tblRad"/>
    <w:rsid w:val="00676F59"/>
    <w:pPr>
      <w:spacing w:before="120"/>
    </w:pPr>
    <w:rPr>
      <w:b/>
      <w:i/>
    </w:rPr>
  </w:style>
  <w:style w:type="paragraph" w:styleId="Topptekst">
    <w:name w:val="header"/>
    <w:basedOn w:val="Normal"/>
    <w:link w:val="TopptekstTegn"/>
    <w:uiPriority w:val="99"/>
    <w:rsid w:val="00676F59"/>
    <w:pPr>
      <w:tabs>
        <w:tab w:val="center" w:pos="4536"/>
        <w:tab w:val="right" w:pos="9072"/>
      </w:tabs>
    </w:pPr>
    <w:rPr>
      <w:sz w:val="20"/>
    </w:rPr>
  </w:style>
  <w:style w:type="character" w:customStyle="1" w:styleId="TopptekstTegn">
    <w:name w:val="Topptekst Tegn"/>
    <w:basedOn w:val="Standardskriftforavsnitt"/>
    <w:link w:val="Topptekst"/>
    <w:uiPriority w:val="99"/>
    <w:locked/>
    <w:rsid w:val="00676F59"/>
    <w:rPr>
      <w:rFonts w:ascii="Times" w:eastAsia="Batang" w:hAnsi="Times"/>
      <w:sz w:val="20"/>
    </w:rPr>
  </w:style>
  <w:style w:type="paragraph" w:styleId="Undertittel">
    <w:name w:val="Subtitle"/>
    <w:basedOn w:val="Normal"/>
    <w:next w:val="Normal"/>
    <w:link w:val="UndertittelTegn"/>
    <w:uiPriority w:val="11"/>
    <w:qFormat/>
    <w:rsid w:val="00676F59"/>
    <w:pPr>
      <w:keepNext/>
      <w:keepLines/>
      <w:spacing w:before="360" w:line="276" w:lineRule="auto"/>
    </w:pPr>
    <w:rPr>
      <w:rFonts w:ascii="Arial" w:eastAsiaTheme="minorEastAsia" w:hAnsi="Arial"/>
      <w:b/>
      <w:spacing w:val="4"/>
      <w:sz w:val="28"/>
      <w:szCs w:val="22"/>
    </w:rPr>
  </w:style>
  <w:style w:type="character" w:customStyle="1" w:styleId="UndertittelTegn">
    <w:name w:val="Undertittel Tegn"/>
    <w:basedOn w:val="Standardskriftforavsnitt"/>
    <w:link w:val="Undertittel"/>
    <w:uiPriority w:val="11"/>
    <w:locked/>
    <w:rsid w:val="00676F59"/>
    <w:rPr>
      <w:rFonts w:ascii="Arial" w:hAnsi="Arial"/>
      <w:b/>
      <w:spacing w:val="4"/>
      <w:sz w:val="28"/>
    </w:rPr>
  </w:style>
  <w:style w:type="paragraph" w:styleId="Avsenderadresse">
    <w:name w:val="envelope return"/>
    <w:basedOn w:val="Normal"/>
    <w:uiPriority w:val="99"/>
    <w:unhideWhenUsed/>
    <w:rsid w:val="00676F59"/>
    <w:pPr>
      <w:spacing w:after="0"/>
    </w:pPr>
    <w:rPr>
      <w:rFonts w:ascii="Cambria" w:eastAsiaTheme="minorEastAsia" w:hAnsi="Cambria"/>
      <w:sz w:val="20"/>
    </w:rPr>
  </w:style>
  <w:style w:type="paragraph" w:styleId="Bibliografi">
    <w:name w:val="Bibliography"/>
    <w:basedOn w:val="Normal"/>
    <w:next w:val="Normal"/>
    <w:uiPriority w:val="37"/>
    <w:unhideWhenUsed/>
    <w:rsid w:val="00676F59"/>
  </w:style>
  <w:style w:type="paragraph" w:styleId="Bildetekst">
    <w:name w:val="caption"/>
    <w:basedOn w:val="Normal"/>
    <w:next w:val="Normal"/>
    <w:uiPriority w:val="35"/>
    <w:unhideWhenUsed/>
    <w:qFormat/>
    <w:rsid w:val="00676F59"/>
    <w:pPr>
      <w:spacing w:after="200"/>
    </w:pPr>
    <w:rPr>
      <w:b/>
      <w:bCs/>
      <w:color w:val="4F81BD"/>
      <w:sz w:val="18"/>
      <w:szCs w:val="18"/>
    </w:rPr>
  </w:style>
  <w:style w:type="paragraph" w:styleId="Blokktekst">
    <w:name w:val="Block Text"/>
    <w:basedOn w:val="Normal"/>
    <w:uiPriority w:val="99"/>
    <w:unhideWhenUsed/>
    <w:rsid w:val="00676F5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heme="minorEastAsia" w:hAnsi="Calibri"/>
      <w:i/>
      <w:iCs/>
      <w:color w:val="4F81BD"/>
    </w:rPr>
  </w:style>
  <w:style w:type="paragraph" w:styleId="Bobletekst">
    <w:name w:val="Balloon Text"/>
    <w:basedOn w:val="Normal"/>
    <w:link w:val="BobletekstTegn"/>
    <w:uiPriority w:val="99"/>
    <w:unhideWhenUsed/>
    <w:rsid w:val="00676F59"/>
    <w:pPr>
      <w:spacing w:after="0"/>
    </w:pPr>
    <w:rPr>
      <w:rFonts w:ascii="Tahoma" w:hAnsi="Tahoma" w:cs="Tahoma"/>
      <w:sz w:val="16"/>
      <w:szCs w:val="16"/>
    </w:rPr>
  </w:style>
  <w:style w:type="character" w:customStyle="1" w:styleId="BobletekstTegn">
    <w:name w:val="Bobletekst Tegn"/>
    <w:basedOn w:val="Standardskriftforavsnitt"/>
    <w:link w:val="Bobletekst"/>
    <w:uiPriority w:val="99"/>
    <w:locked/>
    <w:rsid w:val="00676F59"/>
    <w:rPr>
      <w:rFonts w:ascii="Tahoma" w:eastAsia="Batang" w:hAnsi="Tahoma"/>
      <w:sz w:val="16"/>
    </w:rPr>
  </w:style>
  <w:style w:type="paragraph" w:styleId="Brdtekst-frsteinnrykk">
    <w:name w:val="Body Text First Indent"/>
    <w:basedOn w:val="Brdtekst"/>
    <w:link w:val="Brdtekst-frsteinnrykkTegn"/>
    <w:uiPriority w:val="99"/>
    <w:unhideWhenUsed/>
    <w:rsid w:val="00676F59"/>
    <w:pPr>
      <w:spacing w:before="0"/>
      <w:ind w:firstLine="360"/>
    </w:pPr>
  </w:style>
  <w:style w:type="character" w:customStyle="1" w:styleId="Brdtekst-frsteinnrykkTegn">
    <w:name w:val="Brødtekst - første innrykk Tegn"/>
    <w:basedOn w:val="BrdtekstTegn"/>
    <w:link w:val="Brdtekst-frsteinnrykk"/>
    <w:uiPriority w:val="99"/>
    <w:locked/>
    <w:rsid w:val="00676F59"/>
    <w:rPr>
      <w:rFonts w:ascii="Times" w:eastAsia="Batang" w:hAnsi="Times"/>
      <w:sz w:val="20"/>
    </w:rPr>
  </w:style>
  <w:style w:type="paragraph" w:styleId="Brdtekstinnrykk">
    <w:name w:val="Body Text Indent"/>
    <w:basedOn w:val="Normal"/>
    <w:link w:val="BrdtekstinnrykkTegn"/>
    <w:uiPriority w:val="99"/>
    <w:unhideWhenUsed/>
    <w:rsid w:val="00676F59"/>
    <w:pPr>
      <w:ind w:left="283"/>
    </w:pPr>
  </w:style>
  <w:style w:type="character" w:customStyle="1" w:styleId="BrdtekstinnrykkTegn">
    <w:name w:val="Brødtekstinnrykk Tegn"/>
    <w:basedOn w:val="Standardskriftforavsnitt"/>
    <w:link w:val="Brdtekstinnrykk"/>
    <w:uiPriority w:val="99"/>
    <w:locked/>
    <w:rsid w:val="00676F59"/>
    <w:rPr>
      <w:rFonts w:ascii="Times" w:eastAsia="Batang" w:hAnsi="Times"/>
      <w:sz w:val="20"/>
    </w:rPr>
  </w:style>
  <w:style w:type="paragraph" w:styleId="Brdtekst-frsteinnrykk2">
    <w:name w:val="Body Text First Indent 2"/>
    <w:basedOn w:val="Brdtekstinnrykk"/>
    <w:link w:val="Brdtekst-frsteinnrykk2Tegn"/>
    <w:uiPriority w:val="99"/>
    <w:unhideWhenUsed/>
    <w:rsid w:val="00676F59"/>
    <w:pPr>
      <w:ind w:left="360" w:firstLine="360"/>
    </w:pPr>
  </w:style>
  <w:style w:type="character" w:customStyle="1" w:styleId="Brdtekst-frsteinnrykk2Tegn">
    <w:name w:val="Brødtekst - første innrykk 2 Tegn"/>
    <w:basedOn w:val="BrdtekstinnrykkTegn"/>
    <w:link w:val="Brdtekst-frsteinnrykk2"/>
    <w:uiPriority w:val="99"/>
    <w:locked/>
    <w:rsid w:val="00676F59"/>
    <w:rPr>
      <w:rFonts w:ascii="Times" w:eastAsia="Batang" w:hAnsi="Times"/>
      <w:sz w:val="20"/>
    </w:rPr>
  </w:style>
  <w:style w:type="paragraph" w:styleId="Brdtekst2">
    <w:name w:val="Body Text 2"/>
    <w:basedOn w:val="Normal"/>
    <w:link w:val="Brdtekst2Tegn"/>
    <w:uiPriority w:val="99"/>
    <w:unhideWhenUsed/>
    <w:rsid w:val="00676F59"/>
    <w:pPr>
      <w:spacing w:line="480" w:lineRule="auto"/>
    </w:pPr>
  </w:style>
  <w:style w:type="character" w:customStyle="1" w:styleId="Brdtekst2Tegn">
    <w:name w:val="Brødtekst 2 Tegn"/>
    <w:basedOn w:val="Standardskriftforavsnitt"/>
    <w:link w:val="Brdtekst2"/>
    <w:uiPriority w:val="99"/>
    <w:locked/>
    <w:rsid w:val="00676F59"/>
    <w:rPr>
      <w:rFonts w:ascii="Times" w:eastAsia="Batang" w:hAnsi="Times"/>
      <w:sz w:val="20"/>
    </w:rPr>
  </w:style>
  <w:style w:type="paragraph" w:styleId="Brdtekst3">
    <w:name w:val="Body Text 3"/>
    <w:basedOn w:val="Normal"/>
    <w:link w:val="Brdtekst3Tegn"/>
    <w:uiPriority w:val="99"/>
    <w:unhideWhenUsed/>
    <w:rsid w:val="00676F59"/>
    <w:rPr>
      <w:sz w:val="16"/>
      <w:szCs w:val="16"/>
    </w:rPr>
  </w:style>
  <w:style w:type="character" w:customStyle="1" w:styleId="Brdtekst3Tegn">
    <w:name w:val="Brødtekst 3 Tegn"/>
    <w:basedOn w:val="Standardskriftforavsnitt"/>
    <w:link w:val="Brdtekst3"/>
    <w:uiPriority w:val="99"/>
    <w:locked/>
    <w:rsid w:val="00676F59"/>
    <w:rPr>
      <w:rFonts w:ascii="Times" w:eastAsia="Batang" w:hAnsi="Times"/>
      <w:sz w:val="16"/>
    </w:rPr>
  </w:style>
  <w:style w:type="paragraph" w:styleId="Brdtekstinnrykk2">
    <w:name w:val="Body Text Indent 2"/>
    <w:basedOn w:val="Normal"/>
    <w:link w:val="Brdtekstinnrykk2Tegn"/>
    <w:uiPriority w:val="99"/>
    <w:unhideWhenUsed/>
    <w:rsid w:val="00676F59"/>
    <w:pPr>
      <w:spacing w:line="480" w:lineRule="auto"/>
      <w:ind w:left="283"/>
    </w:pPr>
  </w:style>
  <w:style w:type="character" w:customStyle="1" w:styleId="Brdtekstinnrykk2Tegn">
    <w:name w:val="Brødtekstinnrykk 2 Tegn"/>
    <w:basedOn w:val="Standardskriftforavsnitt"/>
    <w:link w:val="Brdtekstinnrykk2"/>
    <w:uiPriority w:val="99"/>
    <w:locked/>
    <w:rsid w:val="00676F59"/>
    <w:rPr>
      <w:rFonts w:ascii="Times" w:eastAsia="Batang" w:hAnsi="Times"/>
      <w:sz w:val="20"/>
    </w:rPr>
  </w:style>
  <w:style w:type="paragraph" w:styleId="Brdtekstinnrykk3">
    <w:name w:val="Body Text Indent 3"/>
    <w:basedOn w:val="Normal"/>
    <w:link w:val="Brdtekstinnrykk3Tegn"/>
    <w:uiPriority w:val="99"/>
    <w:unhideWhenUsed/>
    <w:rsid w:val="00676F59"/>
    <w:pPr>
      <w:ind w:left="283"/>
    </w:pPr>
    <w:rPr>
      <w:sz w:val="16"/>
      <w:szCs w:val="16"/>
    </w:rPr>
  </w:style>
  <w:style w:type="character" w:customStyle="1" w:styleId="Brdtekstinnrykk3Tegn">
    <w:name w:val="Brødtekstinnrykk 3 Tegn"/>
    <w:basedOn w:val="Standardskriftforavsnitt"/>
    <w:link w:val="Brdtekstinnrykk3"/>
    <w:uiPriority w:val="99"/>
    <w:locked/>
    <w:rsid w:val="00676F59"/>
    <w:rPr>
      <w:rFonts w:ascii="Times" w:eastAsia="Batang" w:hAnsi="Times"/>
      <w:sz w:val="16"/>
    </w:rPr>
  </w:style>
  <w:style w:type="paragraph" w:styleId="Dokumentkart">
    <w:name w:val="Document Map"/>
    <w:basedOn w:val="Normal"/>
    <w:link w:val="DokumentkartTegn"/>
    <w:uiPriority w:val="99"/>
    <w:unhideWhenUsed/>
    <w:rsid w:val="00676F59"/>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locked/>
    <w:rsid w:val="00676F59"/>
    <w:rPr>
      <w:rFonts w:ascii="Tahoma" w:eastAsia="Batang" w:hAnsi="Tahoma"/>
      <w:sz w:val="16"/>
    </w:rPr>
  </w:style>
  <w:style w:type="paragraph" w:styleId="E-postsignatur">
    <w:name w:val="E-mail Signature"/>
    <w:basedOn w:val="Normal"/>
    <w:link w:val="E-postsignaturTegn"/>
    <w:uiPriority w:val="99"/>
    <w:unhideWhenUsed/>
    <w:rsid w:val="00676F59"/>
    <w:pPr>
      <w:spacing w:after="0"/>
    </w:pPr>
  </w:style>
  <w:style w:type="character" w:customStyle="1" w:styleId="E-postsignaturTegn">
    <w:name w:val="E-postsignatur Tegn"/>
    <w:basedOn w:val="Standardskriftforavsnitt"/>
    <w:link w:val="E-postsignatur"/>
    <w:uiPriority w:val="99"/>
    <w:locked/>
    <w:rsid w:val="00676F59"/>
    <w:rPr>
      <w:rFonts w:ascii="Times" w:eastAsia="Batang" w:hAnsi="Times"/>
      <w:sz w:val="20"/>
    </w:rPr>
  </w:style>
  <w:style w:type="paragraph" w:styleId="Figurliste">
    <w:name w:val="table of figures"/>
    <w:basedOn w:val="Normal"/>
    <w:next w:val="Normal"/>
    <w:uiPriority w:val="99"/>
    <w:unhideWhenUsed/>
    <w:rsid w:val="00676F59"/>
    <w:pPr>
      <w:spacing w:after="0"/>
    </w:pPr>
  </w:style>
  <w:style w:type="paragraph" w:styleId="Hilsen">
    <w:name w:val="Closing"/>
    <w:basedOn w:val="Normal"/>
    <w:link w:val="HilsenTegn"/>
    <w:uiPriority w:val="99"/>
    <w:unhideWhenUsed/>
    <w:rsid w:val="00676F59"/>
    <w:pPr>
      <w:spacing w:after="0"/>
      <w:ind w:left="4252"/>
    </w:pPr>
  </w:style>
  <w:style w:type="character" w:customStyle="1" w:styleId="HilsenTegn">
    <w:name w:val="Hilsen Tegn"/>
    <w:basedOn w:val="Standardskriftforavsnitt"/>
    <w:link w:val="Hilsen"/>
    <w:uiPriority w:val="99"/>
    <w:locked/>
    <w:rsid w:val="00676F59"/>
    <w:rPr>
      <w:rFonts w:ascii="Times" w:eastAsia="Batang" w:hAnsi="Times"/>
      <w:sz w:val="20"/>
    </w:rPr>
  </w:style>
  <w:style w:type="paragraph" w:styleId="HTML-adresse">
    <w:name w:val="HTML Address"/>
    <w:basedOn w:val="Normal"/>
    <w:link w:val="HTML-adresseTegn"/>
    <w:uiPriority w:val="99"/>
    <w:unhideWhenUsed/>
    <w:rsid w:val="00676F59"/>
    <w:pPr>
      <w:spacing w:after="0"/>
    </w:pPr>
    <w:rPr>
      <w:i/>
      <w:iCs/>
    </w:rPr>
  </w:style>
  <w:style w:type="character" w:customStyle="1" w:styleId="HTML-adresseTegn">
    <w:name w:val="HTML-adresse Tegn"/>
    <w:basedOn w:val="Standardskriftforavsnitt"/>
    <w:link w:val="HTML-adresse"/>
    <w:uiPriority w:val="99"/>
    <w:locked/>
    <w:rsid w:val="00676F59"/>
    <w:rPr>
      <w:rFonts w:ascii="Times" w:eastAsia="Batang" w:hAnsi="Times"/>
      <w:i/>
      <w:sz w:val="20"/>
    </w:rPr>
  </w:style>
  <w:style w:type="paragraph" w:styleId="HTML-forhndsformatert">
    <w:name w:val="HTML Preformatted"/>
    <w:basedOn w:val="Normal"/>
    <w:link w:val="HTML-forhndsformatertTegn"/>
    <w:uiPriority w:val="99"/>
    <w:unhideWhenUsed/>
    <w:rsid w:val="00676F59"/>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locked/>
    <w:rsid w:val="00676F59"/>
    <w:rPr>
      <w:rFonts w:ascii="Consolas" w:eastAsia="Batang" w:hAnsi="Consolas"/>
      <w:sz w:val="20"/>
    </w:rPr>
  </w:style>
  <w:style w:type="paragraph" w:styleId="Indeks1">
    <w:name w:val="index 1"/>
    <w:basedOn w:val="Normal"/>
    <w:next w:val="Normal"/>
    <w:autoRedefine/>
    <w:uiPriority w:val="99"/>
    <w:unhideWhenUsed/>
    <w:rsid w:val="00676F59"/>
    <w:pPr>
      <w:spacing w:after="0"/>
      <w:ind w:left="240" w:hanging="240"/>
    </w:pPr>
  </w:style>
  <w:style w:type="paragraph" w:styleId="Indeks2">
    <w:name w:val="index 2"/>
    <w:basedOn w:val="Normal"/>
    <w:next w:val="Normal"/>
    <w:autoRedefine/>
    <w:uiPriority w:val="99"/>
    <w:unhideWhenUsed/>
    <w:rsid w:val="00676F59"/>
    <w:pPr>
      <w:spacing w:after="0"/>
      <w:ind w:left="480" w:hanging="240"/>
    </w:pPr>
  </w:style>
  <w:style w:type="paragraph" w:styleId="Indeks3">
    <w:name w:val="index 3"/>
    <w:basedOn w:val="Normal"/>
    <w:next w:val="Normal"/>
    <w:autoRedefine/>
    <w:uiPriority w:val="99"/>
    <w:unhideWhenUsed/>
    <w:rsid w:val="00676F59"/>
    <w:pPr>
      <w:spacing w:after="0"/>
      <w:ind w:left="720" w:hanging="240"/>
    </w:pPr>
  </w:style>
  <w:style w:type="paragraph" w:styleId="Indeks4">
    <w:name w:val="index 4"/>
    <w:basedOn w:val="Normal"/>
    <w:next w:val="Normal"/>
    <w:autoRedefine/>
    <w:uiPriority w:val="99"/>
    <w:unhideWhenUsed/>
    <w:rsid w:val="00676F59"/>
    <w:pPr>
      <w:spacing w:after="0"/>
      <w:ind w:left="960" w:hanging="240"/>
    </w:pPr>
  </w:style>
  <w:style w:type="paragraph" w:styleId="Indeks5">
    <w:name w:val="index 5"/>
    <w:basedOn w:val="Normal"/>
    <w:next w:val="Normal"/>
    <w:autoRedefine/>
    <w:uiPriority w:val="99"/>
    <w:unhideWhenUsed/>
    <w:rsid w:val="00676F59"/>
    <w:pPr>
      <w:spacing w:after="0"/>
      <w:ind w:left="1200" w:hanging="240"/>
    </w:pPr>
  </w:style>
  <w:style w:type="paragraph" w:styleId="Indeks6">
    <w:name w:val="index 6"/>
    <w:basedOn w:val="Normal"/>
    <w:next w:val="Normal"/>
    <w:autoRedefine/>
    <w:uiPriority w:val="99"/>
    <w:unhideWhenUsed/>
    <w:rsid w:val="00676F59"/>
    <w:pPr>
      <w:spacing w:after="0"/>
      <w:ind w:left="1440" w:hanging="240"/>
    </w:pPr>
  </w:style>
  <w:style w:type="paragraph" w:styleId="Indeks7">
    <w:name w:val="index 7"/>
    <w:basedOn w:val="Normal"/>
    <w:next w:val="Normal"/>
    <w:autoRedefine/>
    <w:uiPriority w:val="99"/>
    <w:unhideWhenUsed/>
    <w:rsid w:val="00676F59"/>
    <w:pPr>
      <w:spacing w:after="0"/>
      <w:ind w:left="1680" w:hanging="240"/>
    </w:pPr>
  </w:style>
  <w:style w:type="paragraph" w:styleId="Indeks8">
    <w:name w:val="index 8"/>
    <w:basedOn w:val="Normal"/>
    <w:next w:val="Normal"/>
    <w:autoRedefine/>
    <w:uiPriority w:val="99"/>
    <w:unhideWhenUsed/>
    <w:rsid w:val="00676F59"/>
    <w:pPr>
      <w:spacing w:after="0"/>
      <w:ind w:left="1920" w:hanging="240"/>
    </w:pPr>
  </w:style>
  <w:style w:type="paragraph" w:styleId="Indeks9">
    <w:name w:val="index 9"/>
    <w:basedOn w:val="Normal"/>
    <w:next w:val="Normal"/>
    <w:autoRedefine/>
    <w:uiPriority w:val="99"/>
    <w:unhideWhenUsed/>
    <w:rsid w:val="00676F59"/>
    <w:pPr>
      <w:spacing w:after="0"/>
      <w:ind w:left="2160" w:hanging="240"/>
    </w:pPr>
  </w:style>
  <w:style w:type="paragraph" w:styleId="Ingenmellomrom">
    <w:name w:val="No Spacing"/>
    <w:uiPriority w:val="1"/>
    <w:qFormat/>
    <w:rsid w:val="00676F59"/>
    <w:pPr>
      <w:spacing w:after="0" w:line="240" w:lineRule="auto"/>
    </w:pPr>
    <w:rPr>
      <w:rFonts w:ascii="Times" w:eastAsia="Batang" w:hAnsi="Times"/>
      <w:sz w:val="24"/>
      <w:szCs w:val="20"/>
    </w:rPr>
  </w:style>
  <w:style w:type="paragraph" w:styleId="INNH6">
    <w:name w:val="toc 6"/>
    <w:basedOn w:val="Normal"/>
    <w:next w:val="Normal"/>
    <w:autoRedefine/>
    <w:uiPriority w:val="39"/>
    <w:unhideWhenUsed/>
    <w:rsid w:val="00676F59"/>
    <w:pPr>
      <w:spacing w:after="100"/>
      <w:ind w:left="1200"/>
    </w:pPr>
  </w:style>
  <w:style w:type="paragraph" w:styleId="INNH7">
    <w:name w:val="toc 7"/>
    <w:basedOn w:val="Normal"/>
    <w:next w:val="Normal"/>
    <w:autoRedefine/>
    <w:uiPriority w:val="39"/>
    <w:unhideWhenUsed/>
    <w:rsid w:val="00676F59"/>
    <w:pPr>
      <w:spacing w:after="100"/>
      <w:ind w:left="1440"/>
    </w:pPr>
  </w:style>
  <w:style w:type="paragraph" w:styleId="INNH8">
    <w:name w:val="toc 8"/>
    <w:basedOn w:val="Normal"/>
    <w:next w:val="Normal"/>
    <w:autoRedefine/>
    <w:uiPriority w:val="39"/>
    <w:unhideWhenUsed/>
    <w:rsid w:val="00676F59"/>
    <w:pPr>
      <w:spacing w:after="100"/>
      <w:ind w:left="1680"/>
    </w:pPr>
  </w:style>
  <w:style w:type="paragraph" w:styleId="INNH9">
    <w:name w:val="toc 9"/>
    <w:basedOn w:val="Normal"/>
    <w:next w:val="Normal"/>
    <w:autoRedefine/>
    <w:uiPriority w:val="39"/>
    <w:unhideWhenUsed/>
    <w:rsid w:val="00676F59"/>
    <w:pPr>
      <w:spacing w:after="100"/>
      <w:ind w:left="1920"/>
    </w:pPr>
  </w:style>
  <w:style w:type="paragraph" w:styleId="Innledendehilsen">
    <w:name w:val="Salutation"/>
    <w:basedOn w:val="Normal"/>
    <w:next w:val="Normal"/>
    <w:link w:val="InnledendehilsenTegn"/>
    <w:uiPriority w:val="99"/>
    <w:unhideWhenUsed/>
    <w:rsid w:val="00676F59"/>
  </w:style>
  <w:style w:type="character" w:customStyle="1" w:styleId="InnledendehilsenTegn">
    <w:name w:val="Innledende hilsen Tegn"/>
    <w:basedOn w:val="Standardskriftforavsnitt"/>
    <w:link w:val="Innledendehilsen"/>
    <w:uiPriority w:val="99"/>
    <w:locked/>
    <w:rsid w:val="00676F59"/>
    <w:rPr>
      <w:rFonts w:ascii="Times" w:eastAsia="Batang" w:hAnsi="Times"/>
      <w:sz w:val="20"/>
    </w:rPr>
  </w:style>
  <w:style w:type="paragraph" w:styleId="Kildeliste">
    <w:name w:val="table of authorities"/>
    <w:basedOn w:val="Normal"/>
    <w:next w:val="Normal"/>
    <w:uiPriority w:val="99"/>
    <w:unhideWhenUsed/>
    <w:rsid w:val="00676F59"/>
    <w:pPr>
      <w:spacing w:after="0"/>
      <w:ind w:left="240" w:hanging="240"/>
    </w:pPr>
  </w:style>
  <w:style w:type="paragraph" w:styleId="Kildelisteoverskrift">
    <w:name w:val="toa heading"/>
    <w:basedOn w:val="Normal"/>
    <w:next w:val="Normal"/>
    <w:uiPriority w:val="99"/>
    <w:unhideWhenUsed/>
    <w:rsid w:val="00676F59"/>
    <w:pPr>
      <w:spacing w:before="120"/>
    </w:pPr>
    <w:rPr>
      <w:rFonts w:ascii="Cambria" w:eastAsiaTheme="minorEastAsia" w:hAnsi="Cambria"/>
      <w:b/>
      <w:bCs/>
      <w:szCs w:val="24"/>
    </w:rPr>
  </w:style>
  <w:style w:type="paragraph" w:styleId="Kommentaremne">
    <w:name w:val="annotation subject"/>
    <w:basedOn w:val="Merknadstekst"/>
    <w:next w:val="Merknadstekst"/>
    <w:link w:val="KommentaremneTegn"/>
    <w:uiPriority w:val="99"/>
    <w:unhideWhenUsed/>
    <w:rsid w:val="00676F59"/>
    <w:rPr>
      <w:b/>
      <w:bCs/>
    </w:rPr>
  </w:style>
  <w:style w:type="character" w:customStyle="1" w:styleId="KommentaremneTegn">
    <w:name w:val="Kommentaremne Tegn"/>
    <w:basedOn w:val="MerknadstekstTegn"/>
    <w:link w:val="Kommentaremne"/>
    <w:uiPriority w:val="99"/>
    <w:locked/>
    <w:rsid w:val="00676F59"/>
    <w:rPr>
      <w:rFonts w:ascii="Times" w:eastAsia="Batang" w:hAnsi="Times"/>
      <w:b/>
      <w:sz w:val="20"/>
    </w:rPr>
  </w:style>
  <w:style w:type="paragraph" w:styleId="Konvoluttadresse">
    <w:name w:val="envelope address"/>
    <w:basedOn w:val="Normal"/>
    <w:uiPriority w:val="99"/>
    <w:unhideWhenUsed/>
    <w:rsid w:val="00676F59"/>
    <w:pPr>
      <w:framePr w:w="7920" w:h="1980" w:hRule="exact" w:hSpace="141" w:wrap="auto" w:hAnchor="page" w:xAlign="center" w:yAlign="bottom"/>
      <w:spacing w:after="0"/>
      <w:ind w:left="2880"/>
    </w:pPr>
    <w:rPr>
      <w:rFonts w:ascii="Cambria" w:eastAsiaTheme="minorEastAsia" w:hAnsi="Cambria"/>
      <w:szCs w:val="24"/>
    </w:rPr>
  </w:style>
  <w:style w:type="paragraph" w:styleId="Liste-forts">
    <w:name w:val="List Continue"/>
    <w:basedOn w:val="Normal"/>
    <w:uiPriority w:val="99"/>
    <w:unhideWhenUsed/>
    <w:rsid w:val="00676F59"/>
    <w:pPr>
      <w:ind w:left="283"/>
      <w:contextualSpacing/>
    </w:pPr>
  </w:style>
  <w:style w:type="paragraph" w:styleId="Liste-forts2">
    <w:name w:val="List Continue 2"/>
    <w:basedOn w:val="Normal"/>
    <w:uiPriority w:val="99"/>
    <w:unhideWhenUsed/>
    <w:rsid w:val="00676F59"/>
    <w:pPr>
      <w:ind w:left="566"/>
      <w:contextualSpacing/>
    </w:pPr>
  </w:style>
  <w:style w:type="paragraph" w:styleId="Liste-forts3">
    <w:name w:val="List Continue 3"/>
    <w:basedOn w:val="Normal"/>
    <w:uiPriority w:val="99"/>
    <w:unhideWhenUsed/>
    <w:rsid w:val="00676F59"/>
    <w:pPr>
      <w:ind w:left="849"/>
      <w:contextualSpacing/>
    </w:pPr>
  </w:style>
  <w:style w:type="paragraph" w:styleId="Liste-forts4">
    <w:name w:val="List Continue 4"/>
    <w:basedOn w:val="Normal"/>
    <w:uiPriority w:val="99"/>
    <w:unhideWhenUsed/>
    <w:rsid w:val="00676F59"/>
    <w:pPr>
      <w:ind w:left="1132"/>
      <w:contextualSpacing/>
    </w:pPr>
  </w:style>
  <w:style w:type="paragraph" w:styleId="Liste-forts5">
    <w:name w:val="List Continue 5"/>
    <w:basedOn w:val="Normal"/>
    <w:uiPriority w:val="99"/>
    <w:unhideWhenUsed/>
    <w:rsid w:val="00676F59"/>
    <w:pPr>
      <w:ind w:left="1415"/>
      <w:contextualSpacing/>
    </w:pPr>
  </w:style>
  <w:style w:type="paragraph" w:styleId="Listeavsnitt">
    <w:name w:val="List Paragraph"/>
    <w:basedOn w:val="Normal"/>
    <w:uiPriority w:val="34"/>
    <w:qFormat/>
    <w:rsid w:val="00676F59"/>
    <w:pPr>
      <w:spacing w:before="60" w:after="0" w:line="276" w:lineRule="auto"/>
      <w:ind w:left="397"/>
    </w:pPr>
    <w:rPr>
      <w:rFonts w:ascii="Times New Roman" w:eastAsiaTheme="minorEastAsia" w:hAnsi="Times New Roman"/>
      <w:szCs w:val="22"/>
    </w:rPr>
  </w:style>
  <w:style w:type="paragraph" w:styleId="Makrotekst">
    <w:name w:val="macro"/>
    <w:link w:val="MakrotekstTegn"/>
    <w:uiPriority w:val="99"/>
    <w:unhideWhenUsed/>
    <w:rsid w:val="00676F5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sz w:val="20"/>
      <w:szCs w:val="20"/>
    </w:rPr>
  </w:style>
  <w:style w:type="character" w:customStyle="1" w:styleId="MakrotekstTegn">
    <w:name w:val="Makrotekst Tegn"/>
    <w:basedOn w:val="Standardskriftforavsnitt"/>
    <w:link w:val="Makrotekst"/>
    <w:uiPriority w:val="99"/>
    <w:locked/>
    <w:rsid w:val="00676F59"/>
    <w:rPr>
      <w:rFonts w:ascii="Consolas" w:eastAsia="Batang" w:hAnsi="Consolas"/>
      <w:sz w:val="20"/>
    </w:rPr>
  </w:style>
  <w:style w:type="paragraph" w:styleId="Meldingshode">
    <w:name w:val="Message Header"/>
    <w:basedOn w:val="Normal"/>
    <w:link w:val="MeldingshodeTegn"/>
    <w:uiPriority w:val="99"/>
    <w:unhideWhenUsed/>
    <w:rsid w:val="00676F5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heme="minorEastAsia" w:hAnsi="Cambria"/>
      <w:szCs w:val="24"/>
    </w:rPr>
  </w:style>
  <w:style w:type="character" w:customStyle="1" w:styleId="MeldingshodeTegn">
    <w:name w:val="Meldingshode Tegn"/>
    <w:basedOn w:val="Standardskriftforavsnitt"/>
    <w:link w:val="Meldingshode"/>
    <w:uiPriority w:val="99"/>
    <w:locked/>
    <w:rsid w:val="00676F59"/>
    <w:rPr>
      <w:rFonts w:ascii="Cambria" w:hAnsi="Cambria"/>
      <w:sz w:val="24"/>
      <w:shd w:val="pct20" w:color="auto" w:fill="auto"/>
    </w:rPr>
  </w:style>
  <w:style w:type="paragraph" w:styleId="Notatoverskrift">
    <w:name w:val="Note Heading"/>
    <w:basedOn w:val="Normal"/>
    <w:next w:val="Normal"/>
    <w:link w:val="NotatoverskriftTegn"/>
    <w:uiPriority w:val="99"/>
    <w:unhideWhenUsed/>
    <w:rsid w:val="00676F59"/>
    <w:pPr>
      <w:spacing w:after="0"/>
    </w:pPr>
  </w:style>
  <w:style w:type="character" w:customStyle="1" w:styleId="NotatoverskriftTegn">
    <w:name w:val="Notatoverskrift Tegn"/>
    <w:basedOn w:val="Standardskriftforavsnitt"/>
    <w:link w:val="Notatoverskrift"/>
    <w:uiPriority w:val="99"/>
    <w:locked/>
    <w:rsid w:val="00676F59"/>
    <w:rPr>
      <w:rFonts w:ascii="Times" w:eastAsia="Batang" w:hAnsi="Times"/>
      <w:sz w:val="20"/>
    </w:rPr>
  </w:style>
  <w:style w:type="paragraph" w:styleId="Overskriftforinnholdsfortegnelse">
    <w:name w:val="TOC Heading"/>
    <w:basedOn w:val="Overskrift1"/>
    <w:next w:val="Normal"/>
    <w:uiPriority w:val="39"/>
    <w:unhideWhenUsed/>
    <w:qFormat/>
    <w:rsid w:val="00676F59"/>
    <w:pPr>
      <w:keepLines/>
      <w:numPr>
        <w:numId w:val="0"/>
      </w:numPr>
      <w:spacing w:before="480" w:after="0"/>
      <w:jc w:val="left"/>
      <w:outlineLvl w:val="9"/>
    </w:pPr>
    <w:rPr>
      <w:rFonts w:ascii="Cambria" w:eastAsiaTheme="minorEastAsia" w:hAnsi="Cambria"/>
      <w:bCs/>
      <w:color w:val="365F91"/>
      <w:kern w:val="0"/>
      <w:sz w:val="28"/>
      <w:szCs w:val="28"/>
    </w:rPr>
  </w:style>
  <w:style w:type="paragraph" w:styleId="Sluttnotetekst">
    <w:name w:val="endnote text"/>
    <w:basedOn w:val="Normal"/>
    <w:link w:val="SluttnotetekstTegn"/>
    <w:uiPriority w:val="99"/>
    <w:unhideWhenUsed/>
    <w:rsid w:val="00676F59"/>
    <w:pPr>
      <w:spacing w:after="0"/>
    </w:pPr>
    <w:rPr>
      <w:sz w:val="20"/>
    </w:rPr>
  </w:style>
  <w:style w:type="character" w:customStyle="1" w:styleId="SluttnotetekstTegn">
    <w:name w:val="Sluttnotetekst Tegn"/>
    <w:basedOn w:val="Standardskriftforavsnitt"/>
    <w:link w:val="Sluttnotetekst"/>
    <w:uiPriority w:val="99"/>
    <w:locked/>
    <w:rsid w:val="00676F59"/>
    <w:rPr>
      <w:rFonts w:ascii="Times" w:eastAsia="Batang" w:hAnsi="Times"/>
      <w:sz w:val="20"/>
    </w:rPr>
  </w:style>
  <w:style w:type="paragraph" w:styleId="Sterktsitat">
    <w:name w:val="Intense Quote"/>
    <w:basedOn w:val="Normal"/>
    <w:next w:val="Normal"/>
    <w:link w:val="SterktsitatTegn"/>
    <w:uiPriority w:val="30"/>
    <w:qFormat/>
    <w:rsid w:val="00676F59"/>
    <w:pPr>
      <w:pBdr>
        <w:bottom w:val="single" w:sz="4" w:space="4" w:color="4F81BD"/>
      </w:pBdr>
      <w:spacing w:before="200" w:after="280"/>
      <w:ind w:left="936" w:right="936"/>
    </w:pPr>
    <w:rPr>
      <w:b/>
      <w:bCs/>
      <w:i/>
      <w:iCs/>
      <w:color w:val="4F81BD"/>
    </w:rPr>
  </w:style>
  <w:style w:type="character" w:customStyle="1" w:styleId="SterktsitatTegn">
    <w:name w:val="Sterkt sitat Tegn"/>
    <w:basedOn w:val="Standardskriftforavsnitt"/>
    <w:link w:val="Sterktsitat"/>
    <w:uiPriority w:val="30"/>
    <w:locked/>
    <w:rsid w:val="00676F59"/>
    <w:rPr>
      <w:rFonts w:ascii="Times" w:eastAsia="Batang" w:hAnsi="Times"/>
      <w:b/>
      <w:i/>
      <w:color w:val="4F81BD"/>
      <w:sz w:val="20"/>
    </w:rPr>
  </w:style>
  <w:style w:type="paragraph" w:styleId="Stikkordregisteroverskrift">
    <w:name w:val="index heading"/>
    <w:basedOn w:val="Normal"/>
    <w:next w:val="Indeks1"/>
    <w:uiPriority w:val="99"/>
    <w:unhideWhenUsed/>
    <w:rsid w:val="00676F59"/>
    <w:rPr>
      <w:rFonts w:ascii="Cambria" w:eastAsiaTheme="minorEastAsia" w:hAnsi="Cambria"/>
      <w:b/>
      <w:bCs/>
    </w:rPr>
  </w:style>
  <w:style w:type="paragraph" w:styleId="Tittel">
    <w:name w:val="Title"/>
    <w:basedOn w:val="Normal"/>
    <w:next w:val="Normal"/>
    <w:link w:val="TittelTegn"/>
    <w:uiPriority w:val="10"/>
    <w:qFormat/>
    <w:rsid w:val="00676F59"/>
    <w:pPr>
      <w:pBdr>
        <w:bottom w:val="single" w:sz="8" w:space="4" w:color="4F81BD"/>
      </w:pBdr>
      <w:spacing w:after="300"/>
      <w:contextualSpacing/>
    </w:pPr>
    <w:rPr>
      <w:rFonts w:ascii="Cambria" w:eastAsiaTheme="minorEastAsia" w:hAnsi="Cambria"/>
      <w:color w:val="17365D"/>
      <w:spacing w:val="5"/>
      <w:kern w:val="28"/>
      <w:sz w:val="52"/>
      <w:szCs w:val="52"/>
    </w:rPr>
  </w:style>
  <w:style w:type="character" w:customStyle="1" w:styleId="TittelTegn">
    <w:name w:val="Tittel Tegn"/>
    <w:basedOn w:val="Standardskriftforavsnitt"/>
    <w:link w:val="Tittel"/>
    <w:uiPriority w:val="10"/>
    <w:locked/>
    <w:rsid w:val="00676F59"/>
    <w:rPr>
      <w:rFonts w:ascii="Cambria" w:hAnsi="Cambria"/>
      <w:color w:val="17365D"/>
      <w:spacing w:val="5"/>
      <w:kern w:val="28"/>
      <w:sz w:val="52"/>
    </w:rPr>
  </w:style>
  <w:style w:type="paragraph" w:styleId="Underskrift">
    <w:name w:val="Signature"/>
    <w:basedOn w:val="Normal"/>
    <w:link w:val="UnderskriftTegn"/>
    <w:uiPriority w:val="99"/>
    <w:unhideWhenUsed/>
    <w:rsid w:val="00676F59"/>
    <w:pPr>
      <w:spacing w:after="0"/>
      <w:ind w:left="4252"/>
    </w:pPr>
  </w:style>
  <w:style w:type="character" w:customStyle="1" w:styleId="UnderskriftTegn">
    <w:name w:val="Underskrift Tegn"/>
    <w:basedOn w:val="Standardskriftforavsnitt"/>
    <w:link w:val="Underskrift"/>
    <w:uiPriority w:val="99"/>
    <w:locked/>
    <w:rsid w:val="00676F59"/>
    <w:rPr>
      <w:rFonts w:ascii="Times" w:eastAsia="Batang" w:hAnsi="Times"/>
      <w:sz w:val="20"/>
    </w:rPr>
  </w:style>
  <w:style w:type="paragraph" w:styleId="Vanliginnrykk">
    <w:name w:val="Normal Indent"/>
    <w:basedOn w:val="Normal"/>
    <w:uiPriority w:val="99"/>
    <w:unhideWhenUsed/>
    <w:rsid w:val="00676F59"/>
    <w:pPr>
      <w:ind w:left="708"/>
    </w:pPr>
  </w:style>
  <w:style w:type="paragraph" w:customStyle="1" w:styleId="Figur">
    <w:name w:val="Figur"/>
    <w:basedOn w:val="Normal"/>
    <w:uiPriority w:val="99"/>
    <w:rsid w:val="00676F59"/>
    <w:pPr>
      <w:suppressAutoHyphens/>
      <w:spacing w:before="400" w:after="200" w:line="240" w:lineRule="exact"/>
      <w:jc w:val="center"/>
    </w:pPr>
    <w:rPr>
      <w:rFonts w:ascii="Times New Roman" w:eastAsiaTheme="minorEastAsia" w:hAnsi="Times New Roman"/>
      <w:b/>
      <w:bCs/>
      <w:color w:val="FF0000"/>
      <w:szCs w:val="22"/>
    </w:rPr>
  </w:style>
  <w:style w:type="paragraph" w:customStyle="1" w:styleId="Sammendrag">
    <w:name w:val="Sammendrag"/>
    <w:basedOn w:val="Overskrift1"/>
    <w:qFormat/>
    <w:rsid w:val="00676F59"/>
    <w:pPr>
      <w:numPr>
        <w:numId w:val="0"/>
      </w:numPr>
      <w:spacing w:line="276" w:lineRule="auto"/>
      <w:jc w:val="left"/>
    </w:pPr>
    <w:rPr>
      <w:rFonts w:eastAsiaTheme="minorEastAsia"/>
      <w:szCs w:val="22"/>
    </w:rPr>
  </w:style>
  <w:style w:type="paragraph" w:customStyle="1" w:styleId="TrykkeriMerknad">
    <w:name w:val="TrykkeriMerknad"/>
    <w:basedOn w:val="Normal"/>
    <w:qFormat/>
    <w:rsid w:val="00676F59"/>
    <w:pPr>
      <w:spacing w:before="60" w:line="276" w:lineRule="auto"/>
    </w:pPr>
    <w:rPr>
      <w:rFonts w:ascii="Arial" w:eastAsiaTheme="minorEastAsia" w:hAnsi="Arial"/>
      <w:color w:val="943634"/>
      <w:spacing w:val="4"/>
      <w:sz w:val="26"/>
      <w:szCs w:val="22"/>
    </w:rPr>
  </w:style>
  <w:style w:type="paragraph" w:customStyle="1" w:styleId="ForfatterMerknad">
    <w:name w:val="ForfatterMerknad"/>
    <w:basedOn w:val="Normal"/>
    <w:qFormat/>
    <w:rsid w:val="00676F59"/>
    <w:pPr>
      <w:shd w:val="clear" w:color="auto" w:fill="FFFF99"/>
      <w:spacing w:before="60"/>
    </w:pPr>
    <w:rPr>
      <w:rFonts w:ascii="Arial" w:eastAsiaTheme="minorEastAsia" w:hAnsi="Arial"/>
      <w:color w:val="632423"/>
      <w:spacing w:val="4"/>
      <w:sz w:val="26"/>
      <w:szCs w:val="22"/>
    </w:rPr>
  </w:style>
  <w:style w:type="paragraph" w:customStyle="1" w:styleId="tblRadItalicLuftOver">
    <w:name w:val="tblRadItalicLuftOver"/>
    <w:uiPriority w:val="99"/>
    <w:pPr>
      <w:keepNext/>
      <w:widowControl w:val="0"/>
      <w:autoSpaceDE w:val="0"/>
      <w:autoSpaceDN w:val="0"/>
      <w:adjustRightInd w:val="0"/>
      <w:spacing w:before="120" w:line="240" w:lineRule="auto"/>
    </w:pPr>
    <w:rPr>
      <w:rFonts w:ascii="Times New Roman" w:hAnsi="Times New Roman"/>
      <w:i/>
      <w:iCs/>
      <w:color w:val="000000"/>
      <w:w w:val="0"/>
      <w:sz w:val="18"/>
      <w:szCs w:val="18"/>
      <w:lang w:val="en-US"/>
    </w:rPr>
  </w:style>
  <w:style w:type="paragraph" w:styleId="Sitat">
    <w:name w:val="Quote"/>
    <w:basedOn w:val="Normal"/>
    <w:next w:val="Normal"/>
    <w:link w:val="SitatTegn"/>
    <w:uiPriority w:val="99"/>
    <w:qFormat/>
    <w:pPr>
      <w:widowControl w:val="0"/>
      <w:tabs>
        <w:tab w:val="left" w:pos="860"/>
      </w:tabs>
      <w:spacing w:before="200" w:after="160"/>
      <w:ind w:left="860" w:right="860"/>
      <w:jc w:val="center"/>
    </w:pPr>
    <w:rPr>
      <w:rFonts w:ascii="Times New Roman" w:hAnsi="Times New Roman"/>
      <w:i/>
      <w:iCs/>
      <w:color w:val="404040"/>
      <w:szCs w:val="24"/>
      <w:lang w:val="en-US"/>
    </w:rPr>
  </w:style>
  <w:style w:type="character" w:customStyle="1" w:styleId="SitatTegn">
    <w:name w:val="Sitat Tegn"/>
    <w:basedOn w:val="Standardskriftforavsnitt"/>
    <w:link w:val="Sitat"/>
    <w:uiPriority w:val="99"/>
    <w:locked/>
    <w:rPr>
      <w:rFonts w:ascii="Times New Roman" w:hAnsi="Times New Roman" w:cs="Times New Roman"/>
      <w:i/>
      <w:iCs/>
      <w:color w:val="000000"/>
      <w:sz w:val="20"/>
      <w:szCs w:val="20"/>
      <w:u w:val="none"/>
      <w:lang w:val="en-US" w:eastAsia="x-none"/>
    </w:rPr>
  </w:style>
  <w:style w:type="paragraph" w:styleId="Revisjon">
    <w:name w:val="Revision"/>
    <w:uiPriority w:val="99"/>
    <w:pPr>
      <w:widowControl w:val="0"/>
      <w:autoSpaceDE w:val="0"/>
      <w:autoSpaceDN w:val="0"/>
      <w:adjustRightInd w:val="0"/>
      <w:spacing w:line="240" w:lineRule="auto"/>
    </w:pPr>
    <w:rPr>
      <w:rFonts w:ascii="Times" w:hAnsi="Times" w:cs="Times"/>
      <w:color w:val="000000"/>
      <w:w w:val="0"/>
      <w:sz w:val="24"/>
      <w:szCs w:val="24"/>
      <w:lang w:val="en-US"/>
    </w:rPr>
  </w:style>
  <w:style w:type="paragraph" w:customStyle="1" w:styleId="Default">
    <w:name w:val="Default"/>
    <w:uiPriority w:val="99"/>
    <w:pPr>
      <w:widowControl w:val="0"/>
      <w:autoSpaceDE w:val="0"/>
      <w:autoSpaceDN w:val="0"/>
      <w:adjustRightInd w:val="0"/>
      <w:spacing w:after="120" w:line="240" w:lineRule="auto"/>
    </w:pPr>
    <w:rPr>
      <w:rFonts w:ascii="Arial" w:hAnsi="Arial" w:cs="Arial"/>
      <w:color w:val="000000"/>
      <w:w w:val="0"/>
      <w:sz w:val="24"/>
      <w:szCs w:val="24"/>
      <w:lang w:val="en-US"/>
    </w:rPr>
  </w:style>
  <w:style w:type="paragraph" w:customStyle="1" w:styleId="documentdescription">
    <w:name w:val="documentdescription"/>
    <w:uiPriority w:val="99"/>
    <w:pPr>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Talepunkt">
    <w:name w:val="Talepunkt"/>
    <w:uiPriority w:val="99"/>
    <w:pPr>
      <w:widowControl w:val="0"/>
      <w:tabs>
        <w:tab w:val="left" w:pos="720"/>
      </w:tabs>
      <w:autoSpaceDE w:val="0"/>
      <w:autoSpaceDN w:val="0"/>
      <w:adjustRightInd w:val="0"/>
      <w:spacing w:before="60" w:after="240" w:line="240" w:lineRule="auto"/>
      <w:ind w:left="720" w:hanging="360"/>
    </w:pPr>
    <w:rPr>
      <w:rFonts w:ascii="DepCentury Old Style" w:hAnsi="DepCentury Old Style" w:cs="DepCentury Old Style"/>
      <w:b/>
      <w:bCs/>
      <w:color w:val="000000"/>
      <w:w w:val="0"/>
      <w:sz w:val="24"/>
      <w:szCs w:val="24"/>
      <w:lang w:val="en-US"/>
    </w:rPr>
  </w:style>
  <w:style w:type="paragraph" w:customStyle="1" w:styleId="strtngta">
    <w:name w:val="strtngt_a"/>
    <w:uiPriority w:val="99"/>
    <w:pPr>
      <w:widowControl w:val="0"/>
      <w:autoSpaceDE w:val="0"/>
      <w:autoSpaceDN w:val="0"/>
      <w:adjustRightInd w:val="0"/>
      <w:spacing w:before="100" w:after="100" w:line="240" w:lineRule="auto"/>
    </w:pPr>
    <w:rPr>
      <w:rFonts w:ascii="Times New Roman" w:hAnsi="Times New Roman"/>
      <w:color w:val="000000"/>
      <w:w w:val="0"/>
      <w:sz w:val="24"/>
      <w:szCs w:val="24"/>
      <w:lang w:val="en-US"/>
    </w:rPr>
  </w:style>
  <w:style w:type="paragraph" w:customStyle="1" w:styleId="b-budkaptit-fagTOC">
    <w:name w:val="b-budkaptit-fagTOC"/>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76F59"/>
    <w:pPr>
      <w:keepNext/>
      <w:keepLines/>
      <w:spacing w:before="240" w:after="240" w:line="276" w:lineRule="auto"/>
    </w:pPr>
    <w:rPr>
      <w:rFonts w:ascii="Times New Roman" w:eastAsiaTheme="minorEastAsia" w:hAnsi="Times New Roman"/>
      <w:spacing w:val="4"/>
      <w:szCs w:val="22"/>
    </w:rPr>
  </w:style>
  <w:style w:type="paragraph" w:customStyle="1" w:styleId="a-konge-tit">
    <w:name w:val="a-konge-tit"/>
    <w:basedOn w:val="Normal"/>
    <w:next w:val="Normal"/>
    <w:rsid w:val="00676F59"/>
    <w:pPr>
      <w:keepNext/>
      <w:keepLines/>
      <w:spacing w:before="240" w:line="276" w:lineRule="auto"/>
      <w:jc w:val="center"/>
    </w:pPr>
    <w:rPr>
      <w:rFonts w:ascii="Times New Roman" w:eastAsiaTheme="minorEastAsia" w:hAnsi="Times New Roman"/>
      <w:spacing w:val="30"/>
      <w:szCs w:val="22"/>
    </w:rPr>
  </w:style>
  <w:style w:type="paragraph" w:customStyle="1" w:styleId="a-tilraar-dep">
    <w:name w:val="a-tilraar-dep"/>
    <w:basedOn w:val="Normal"/>
    <w:next w:val="Normal"/>
    <w:rsid w:val="00676F59"/>
    <w:pPr>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76F59"/>
    <w:pPr>
      <w:spacing w:before="240" w:line="276" w:lineRule="auto"/>
      <w:jc w:val="center"/>
    </w:pPr>
    <w:rPr>
      <w:rFonts w:ascii="Times New Roman" w:eastAsiaTheme="minorEastAsia" w:hAnsi="Times New Roman"/>
      <w:spacing w:val="30"/>
      <w:szCs w:val="22"/>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76F5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676F59"/>
    <w:pPr>
      <w:keepNext/>
      <w:spacing w:before="360" w:after="60"/>
      <w:jc w:val="center"/>
    </w:pPr>
    <w:rPr>
      <w:b/>
    </w:rPr>
  </w:style>
  <w:style w:type="paragraph" w:customStyle="1" w:styleId="a-vedtak-tekst">
    <w:name w:val="a-vedtak-tekst"/>
    <w:basedOn w:val="Normal"/>
    <w:next w:val="Normal"/>
    <w:rsid w:val="00676F5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basedOn w:val="a-vedtak-tit"/>
    <w:qFormat/>
    <w:rsid w:val="00676F59"/>
    <w:pPr>
      <w:spacing w:before="120"/>
    </w:pPr>
    <w:rPr>
      <w:b w:val="0"/>
      <w:sz w:val="24"/>
    </w:rPr>
  </w:style>
  <w:style w:type="paragraph" w:customStyle="1" w:styleId="a-vedtakkap-tit">
    <w:name w:val="a-vedtakkap-tit"/>
    <w:basedOn w:val="a-vedtak-tit"/>
    <w:qFormat/>
    <w:rsid w:val="00676F59"/>
    <w:pPr>
      <w:spacing w:before="120"/>
    </w:pPr>
    <w:rPr>
      <w:sz w:val="24"/>
    </w:rPr>
  </w:style>
  <w:style w:type="paragraph" w:customStyle="1" w:styleId="a-vedtak-tit">
    <w:name w:val="a-vedtak-tit"/>
    <w:basedOn w:val="Normal"/>
    <w:next w:val="Normal"/>
    <w:rsid w:val="00676F59"/>
    <w:pPr>
      <w:keepNext/>
      <w:jc w:val="center"/>
    </w:pPr>
    <w:rPr>
      <w:rFonts w:ascii="Arial" w:hAnsi="Arial"/>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76F59"/>
    <w:pPr>
      <w:tabs>
        <w:tab w:val="left" w:pos="284"/>
      </w:tabs>
      <w:spacing w:before="120"/>
      <w:contextualSpacing/>
    </w:pPr>
    <w:rPr>
      <w:sz w:val="20"/>
    </w:rPr>
  </w:style>
  <w:style w:type="paragraph" w:customStyle="1" w:styleId="tabell-tittel">
    <w:name w:val="tabell-tittel"/>
    <w:basedOn w:val="Normal"/>
    <w:next w:val="Normal"/>
    <w:rsid w:val="00676F59"/>
    <w:pPr>
      <w:keepNext/>
      <w:keepLines/>
      <w:numPr>
        <w:ilvl w:val="6"/>
        <w:numId w:val="29"/>
      </w:numPr>
      <w:spacing w:before="240" w:line="276" w:lineRule="auto"/>
    </w:pPr>
    <w:rPr>
      <w:rFonts w:ascii="Arial" w:eastAsiaTheme="minorEastAsia" w:hAnsi="Arial"/>
      <w:spacing w:val="4"/>
      <w:szCs w:val="22"/>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76F59"/>
    <w:pPr>
      <w:numPr>
        <w:ilvl w:val="5"/>
        <w:numId w:val="29"/>
      </w:numPr>
      <w:spacing w:line="276" w:lineRule="auto"/>
    </w:pPr>
    <w:rPr>
      <w:rFonts w:ascii="Arial" w:eastAsiaTheme="minorEastAsia" w:hAnsi="Arial"/>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76F59"/>
    <w:pPr>
      <w:keepNext/>
      <w:spacing w:before="240" w:after="60"/>
    </w:pPr>
    <w:rPr>
      <w:rFonts w:ascii="Arial" w:hAnsi="Arial"/>
      <w:b/>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76F59"/>
    <w:pPr>
      <w:keepNext/>
      <w:keepLines/>
      <w:spacing w:before="360" w:line="276" w:lineRule="auto"/>
      <w:ind w:left="1021" w:hanging="1021"/>
    </w:pPr>
    <w:rPr>
      <w:rFonts w:ascii="Arial" w:eastAsiaTheme="minorEastAsia" w:hAnsi="Arial"/>
      <w:b/>
      <w:szCs w:val="22"/>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76F59"/>
    <w:pPr>
      <w:keepNext/>
      <w:spacing w:before="360" w:after="80"/>
      <w:jc w:val="center"/>
    </w:pPr>
    <w:rPr>
      <w:rFonts w:ascii="Arial" w:hAnsi="Arial"/>
      <w:b/>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76F59"/>
    <w:pPr>
      <w:keepNext/>
      <w:spacing w:before="360" w:after="80"/>
      <w:jc w:val="center"/>
    </w:pPr>
    <w:rPr>
      <w:rFonts w:ascii="Arial" w:hAnsi="Arial"/>
      <w:b/>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676F59"/>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676F59"/>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hengende-innrykk"/>
    <w:rsid w:val="00676F59"/>
    <w:pPr>
      <w:ind w:left="0" w:firstLine="0"/>
    </w:pPr>
  </w:style>
  <w:style w:type="paragraph" w:customStyle="1" w:styleId="del-nr">
    <w:name w:val="del-nr"/>
    <w:basedOn w:val="Normal"/>
    <w:qFormat/>
    <w:rsid w:val="00676F59"/>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76F59"/>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76F59"/>
  </w:style>
  <w:style w:type="paragraph" w:customStyle="1" w:styleId="figur-noter">
    <w:name w:val="figur-noter"/>
    <w:basedOn w:val="Normal"/>
    <w:next w:val="Normal"/>
    <w:rsid w:val="00676F59"/>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76F5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basedOn w:val="Normal"/>
    <w:next w:val="Normal"/>
    <w:rsid w:val="00676F59"/>
    <w:pPr>
      <w:keepNext/>
      <w:spacing w:before="360" w:after="60"/>
      <w:jc w:val="center"/>
    </w:pPr>
    <w:rPr>
      <w:b/>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basedOn w:val="Normal"/>
    <w:next w:val="Normal"/>
    <w:rsid w:val="00676F59"/>
    <w:pPr>
      <w:keepNext/>
      <w:spacing w:before="60" w:after="60"/>
      <w:jc w:val="center"/>
    </w:pPr>
    <w:rPr>
      <w:i/>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76F59"/>
    <w:pPr>
      <w:ind w:left="709" w:hanging="709"/>
    </w:pPr>
  </w:style>
  <w:style w:type="paragraph" w:customStyle="1" w:styleId="i-budkap-over">
    <w:name w:val="i-budkap-over"/>
    <w:basedOn w:val="Normal"/>
    <w:next w:val="Normal"/>
    <w:rsid w:val="00676F59"/>
    <w:pPr>
      <w:jc w:val="right"/>
    </w:pPr>
    <w:rPr>
      <w:b/>
    </w:rPr>
  </w:style>
  <w:style w:type="paragraph" w:customStyle="1" w:styleId="i-dep">
    <w:name w:val="i-dep"/>
    <w:basedOn w:val="Normal"/>
    <w:next w:val="Normal"/>
    <w:rsid w:val="00676F59"/>
    <w:pPr>
      <w:jc w:val="right"/>
    </w:pPr>
    <w:rPr>
      <w:b/>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76F59"/>
    <w:pPr>
      <w:spacing w:before="120"/>
      <w:jc w:val="center"/>
    </w:pPr>
    <w:rPr>
      <w:b/>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76F59"/>
    <w:pPr>
      <w:ind w:left="1985" w:hanging="1985"/>
    </w:pPr>
  </w:style>
  <w:style w:type="paragraph" w:customStyle="1" w:styleId="i-statsrdato">
    <w:name w:val="i-statsr.dato"/>
    <w:basedOn w:val="Normal"/>
    <w:next w:val="Normal"/>
    <w:rsid w:val="00676F59"/>
    <w:pPr>
      <w:spacing w:after="0"/>
      <w:jc w:val="center"/>
    </w:pPr>
    <w:rPr>
      <w:i/>
    </w:rPr>
  </w:style>
  <w:style w:type="paragraph" w:customStyle="1" w:styleId="i-termin">
    <w:name w:val="i-termin"/>
    <w:basedOn w:val="Normal"/>
    <w:next w:val="Normal"/>
    <w:rsid w:val="00676F59"/>
    <w:pPr>
      <w:spacing w:before="360"/>
      <w:jc w:val="center"/>
    </w:pPr>
    <w:rPr>
      <w:b/>
      <w:sz w:val="28"/>
    </w:rPr>
  </w:style>
  <w:style w:type="paragraph" w:customStyle="1" w:styleId="i-tit">
    <w:name w:val="i-tit"/>
    <w:basedOn w:val="Normal"/>
    <w:next w:val="i-statsrdato"/>
    <w:rsid w:val="00676F59"/>
    <w:pPr>
      <w:spacing w:before="360" w:after="240"/>
      <w:jc w:val="center"/>
    </w:pPr>
    <w:rPr>
      <w:b/>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rsid w:val="00676F59"/>
  </w:style>
  <w:style w:type="paragraph" w:customStyle="1" w:styleId="Kilde">
    <w:name w:val="Kilde"/>
    <w:basedOn w:val="Normal"/>
    <w:next w:val="Normal"/>
    <w:rsid w:val="00676F59"/>
    <w:pPr>
      <w:spacing w:after="240"/>
    </w:pPr>
    <w:rPr>
      <w:sz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676F59"/>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76F59"/>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76F59"/>
    <w:pPr>
      <w:spacing w:before="120" w:after="60" w:line="276" w:lineRule="auto"/>
    </w:pPr>
    <w:rPr>
      <w:rFonts w:ascii="Times New Roman" w:eastAsiaTheme="minorEastAsia"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76F59"/>
    <w:pPr>
      <w:spacing w:before="240" w:after="40" w:line="276" w:lineRule="auto"/>
    </w:pPr>
    <w:rPr>
      <w:rFonts w:ascii="Times New Roman" w:eastAsiaTheme="minorEastAsia"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76F59"/>
    <w:pPr>
      <w:spacing w:before="120" w:after="60" w:line="276" w:lineRule="auto"/>
    </w:pPr>
    <w:rPr>
      <w:rFonts w:ascii="Times New Roman" w:eastAsiaTheme="minorEastAsia"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76F59"/>
    <w:pPr>
      <w:spacing w:after="0" w:line="276" w:lineRule="auto"/>
    </w:pPr>
    <w:rPr>
      <w:rFonts w:ascii="Times New Roman" w:eastAsiaTheme="minorEastAsia" w:hAnsi="Times New Roman"/>
      <w:spacing w:val="4"/>
      <w:szCs w:val="22"/>
    </w:rPr>
  </w:style>
  <w:style w:type="paragraph" w:customStyle="1" w:styleId="l-tit-endr-avsnitt">
    <w:name w:val="l-tit-endr-avsnitt"/>
    <w:basedOn w:val="l-tit-endr-lovkap"/>
    <w:qFormat/>
    <w:rsid w:val="00676F59"/>
  </w:style>
  <w:style w:type="paragraph" w:customStyle="1" w:styleId="l-tit-endr-ledd">
    <w:name w:val="l-tit-endr-ledd"/>
    <w:basedOn w:val="Normal"/>
    <w:qFormat/>
    <w:rsid w:val="00676F59"/>
    <w:pPr>
      <w:keepNext/>
      <w:spacing w:before="240" w:after="0"/>
    </w:pPr>
    <w:rPr>
      <w:rFonts w:eastAsiaTheme="minorEastAsia"/>
      <w:noProof/>
      <w:spacing w:val="4"/>
      <w:szCs w:val="22"/>
      <w:lang w:val="nn-NO"/>
    </w:rPr>
  </w:style>
  <w:style w:type="paragraph" w:customStyle="1" w:styleId="l-tit-endr-lov">
    <w:name w:val="l-tit-endr-lov"/>
    <w:basedOn w:val="Normal"/>
    <w:qFormat/>
    <w:rsid w:val="00676F59"/>
    <w:pPr>
      <w:keepNext/>
      <w:spacing w:before="240" w:after="0"/>
    </w:pPr>
    <w:rPr>
      <w:rFonts w:eastAsiaTheme="minorEastAsia"/>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76F59"/>
    <w:pPr>
      <w:keepNext/>
      <w:spacing w:before="240" w:after="0"/>
    </w:pPr>
    <w:rPr>
      <w:rFonts w:eastAsiaTheme="minorEastAsia"/>
      <w:noProof/>
      <w:spacing w:val="4"/>
      <w:szCs w:val="22"/>
      <w:lang w:val="nn-NO"/>
    </w:rPr>
  </w:style>
  <w:style w:type="paragraph" w:customStyle="1" w:styleId="l-tit-endr-lovkap">
    <w:name w:val="l-tit-endr-lovkap"/>
    <w:basedOn w:val="Normal"/>
    <w:qFormat/>
    <w:rsid w:val="00676F59"/>
    <w:pPr>
      <w:keepNext/>
      <w:spacing w:before="240" w:after="0"/>
    </w:pPr>
    <w:rPr>
      <w:rFonts w:eastAsiaTheme="minorEastAsia"/>
      <w:noProof/>
      <w:spacing w:val="4"/>
      <w:szCs w:val="22"/>
      <w:lang w:val="nn-NO"/>
    </w:rPr>
  </w:style>
  <w:style w:type="paragraph" w:customStyle="1" w:styleId="l-tit-endr-punktum">
    <w:name w:val="l-tit-endr-punktum"/>
    <w:basedOn w:val="l-tit-endr-ledd"/>
    <w:qFormat/>
    <w:rsid w:val="00676F5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676F59"/>
    <w:pPr>
      <w:spacing w:before="60" w:after="0" w:line="276" w:lineRule="auto"/>
      <w:ind w:left="794"/>
    </w:pPr>
    <w:rPr>
      <w:rFonts w:ascii="Times New Roman" w:eastAsiaTheme="minorEastAsia" w:hAnsi="Times New Roman"/>
      <w:szCs w:val="22"/>
    </w:rPr>
  </w:style>
  <w:style w:type="paragraph" w:customStyle="1" w:styleId="Listeavsnitt3">
    <w:name w:val="Listeavsnitt 3"/>
    <w:basedOn w:val="Normal"/>
    <w:qFormat/>
    <w:rsid w:val="00676F59"/>
    <w:pPr>
      <w:spacing w:before="60" w:after="0" w:line="276" w:lineRule="auto"/>
      <w:ind w:left="1191"/>
    </w:pPr>
    <w:rPr>
      <w:rFonts w:ascii="Times New Roman" w:eastAsiaTheme="minorEastAsia" w:hAnsi="Times New Roman"/>
      <w:szCs w:val="22"/>
    </w:rPr>
  </w:style>
  <w:style w:type="paragraph" w:customStyle="1" w:styleId="Listeavsnitt4">
    <w:name w:val="Listeavsnitt 4"/>
    <w:basedOn w:val="Normal"/>
    <w:qFormat/>
    <w:rsid w:val="00676F59"/>
    <w:pPr>
      <w:spacing w:before="60" w:after="0" w:line="276" w:lineRule="auto"/>
      <w:ind w:left="1588"/>
    </w:pPr>
    <w:rPr>
      <w:rFonts w:ascii="Times New Roman" w:eastAsiaTheme="minorEastAsia" w:hAnsi="Times New Roman"/>
      <w:szCs w:val="22"/>
    </w:rPr>
  </w:style>
  <w:style w:type="paragraph" w:customStyle="1" w:styleId="Listeavsnitt5">
    <w:name w:val="Listeavsnitt 5"/>
    <w:basedOn w:val="Normal"/>
    <w:qFormat/>
    <w:rsid w:val="00676F59"/>
    <w:pPr>
      <w:spacing w:before="60" w:after="0" w:line="276" w:lineRule="auto"/>
      <w:ind w:left="1985"/>
    </w:pPr>
    <w:rPr>
      <w:rFonts w:ascii="Times New Roman" w:eastAsiaTheme="minorEastAsia"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uiPriority w:val="99"/>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76F59"/>
    <w:pPr>
      <w:keepNext/>
      <w:keepLines/>
      <w:spacing w:before="360" w:after="60" w:line="276" w:lineRule="auto"/>
    </w:pPr>
    <w:rPr>
      <w:rFonts w:ascii="Arial" w:eastAsiaTheme="minorEastAsia" w:hAnsi="Arial"/>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uiPriority w:val="99"/>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76F59"/>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76F59"/>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52901"/>
    <w:pPr>
      <w:keepNext/>
    </w:pPr>
    <w:rPr>
      <w:color w:val="00800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76F59"/>
    <w:pPr>
      <w:ind w:left="0" w:firstLine="0"/>
    </w:p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76F59"/>
    <w:pPr>
      <w:keepNext/>
      <w:keepLines/>
      <w:spacing w:line="276" w:lineRule="auto"/>
      <w:jc w:val="center"/>
    </w:pPr>
    <w:rPr>
      <w:rFonts w:ascii="Arial" w:eastAsiaTheme="minorEastAsia"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76F59"/>
    <w:pPr>
      <w:keepNext/>
      <w:keepLines/>
      <w:spacing w:before="360" w:after="240" w:line="276" w:lineRule="auto"/>
      <w:jc w:val="center"/>
    </w:pPr>
    <w:rPr>
      <w:rFonts w:ascii="Arial" w:eastAsiaTheme="minorEastAsia"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76F59"/>
    <w:pPr>
      <w:keepNext/>
      <w:keepLines/>
      <w:spacing w:before="360" w:after="240" w:line="276" w:lineRule="auto"/>
      <w:jc w:val="center"/>
    </w:pPr>
    <w:rPr>
      <w:rFonts w:ascii="Arial" w:eastAsiaTheme="minorEastAsia"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76F59"/>
    <w:rPr>
      <w:b w:val="0"/>
      <w:i/>
    </w:rPr>
  </w:style>
  <w:style w:type="paragraph" w:customStyle="1" w:styleId="Undervedl-tittel">
    <w:name w:val="Undervedl-tittel"/>
    <w:basedOn w:val="Normal"/>
    <w:next w:val="Normal"/>
    <w:rsid w:val="00676F59"/>
    <w:pPr>
      <w:keepNext/>
      <w:spacing w:before="360" w:after="240"/>
    </w:pPr>
    <w:rPr>
      <w:rFonts w:ascii="Arial" w:hAnsi="Arial"/>
      <w:b/>
      <w:sz w:val="28"/>
    </w:rPr>
  </w:style>
  <w:style w:type="paragraph" w:customStyle="1" w:styleId="v-Overskrift1">
    <w:name w:val="v-Overskrift 1"/>
    <w:basedOn w:val="Overskrift1"/>
    <w:next w:val="Normal"/>
    <w:rsid w:val="00676F59"/>
    <w:pPr>
      <w:keepLines/>
      <w:numPr>
        <w:numId w:val="0"/>
      </w:numPr>
      <w:spacing w:line="276" w:lineRule="auto"/>
      <w:jc w:val="left"/>
      <w:outlineLvl w:val="9"/>
    </w:pPr>
    <w:rPr>
      <w:rFonts w:eastAsiaTheme="minorEastAsia"/>
      <w:szCs w:val="22"/>
    </w:rPr>
  </w:style>
  <w:style w:type="paragraph" w:customStyle="1" w:styleId="v-Overskrift2">
    <w:name w:val="v-Overskrift 2"/>
    <w:basedOn w:val="Overskrift2"/>
    <w:next w:val="Normal"/>
    <w:rsid w:val="00676F59"/>
    <w:pPr>
      <w:keepLines/>
      <w:numPr>
        <w:ilvl w:val="0"/>
        <w:numId w:val="0"/>
      </w:numPr>
      <w:spacing w:line="276" w:lineRule="auto"/>
      <w:outlineLvl w:val="9"/>
    </w:pPr>
    <w:rPr>
      <w:rFonts w:eastAsiaTheme="minorEastAsia"/>
      <w:spacing w:val="4"/>
      <w:sz w:val="28"/>
      <w:szCs w:val="22"/>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76F59"/>
    <w:pPr>
      <w:keepLines/>
      <w:numPr>
        <w:ilvl w:val="0"/>
        <w:numId w:val="0"/>
      </w:numPr>
      <w:spacing w:before="360" w:line="276" w:lineRule="auto"/>
      <w:outlineLvl w:val="9"/>
    </w:pPr>
    <w:rPr>
      <w:rFonts w:eastAsiaTheme="minorEastAsia"/>
      <w:szCs w:val="22"/>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76F59"/>
    <w:pPr>
      <w:keepNext/>
      <w:keepLines/>
      <w:numPr>
        <w:numId w:val="28"/>
      </w:numPr>
      <w:spacing w:line="276" w:lineRule="auto"/>
    </w:pPr>
    <w:rPr>
      <w:rFonts w:ascii="Arial" w:eastAsiaTheme="minorEastAsia"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76F59"/>
    <w:pPr>
      <w:keepNext/>
      <w:keepLines/>
      <w:spacing w:before="360" w:after="80" w:line="276" w:lineRule="auto"/>
      <w:jc w:val="center"/>
    </w:pPr>
    <w:rPr>
      <w:rFonts w:ascii="Arial" w:eastAsiaTheme="minorEastAsia"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i-sesjon"/>
    <w:qFormat/>
    <w:rsid w:val="00676F59"/>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76F59"/>
    <w:pPr>
      <w:spacing w:before="720"/>
      <w:jc w:val="center"/>
    </w:pPr>
    <w:rPr>
      <w:b/>
      <w:sz w:val="56"/>
    </w:rPr>
  </w:style>
  <w:style w:type="paragraph" w:customStyle="1" w:styleId="i-sesjon">
    <w:name w:val="i-sesjon"/>
    <w:basedOn w:val="Normal"/>
    <w:next w:val="Normal"/>
    <w:rsid w:val="00676F59"/>
    <w:pPr>
      <w:jc w:val="center"/>
    </w:pPr>
    <w:rPr>
      <w:b/>
      <w:sz w:val="28"/>
    </w:rPr>
  </w:style>
  <w:style w:type="paragraph" w:customStyle="1" w:styleId="i-mtit">
    <w:name w:val="i-mtit"/>
    <w:basedOn w:val="Normal"/>
    <w:next w:val="Normal"/>
    <w:rsid w:val="00676F59"/>
    <w:pPr>
      <w:keepNext/>
      <w:keepLines/>
      <w:spacing w:before="360" w:line="276" w:lineRule="auto"/>
      <w:jc w:val="center"/>
    </w:pPr>
    <w:rPr>
      <w:rFonts w:eastAsiaTheme="minorEastAsia"/>
      <w:b/>
      <w:noProof/>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76F59"/>
    <w:pPr>
      <w:numPr>
        <w:numId w:val="17"/>
      </w:numPr>
      <w:spacing w:after="0" w:line="276" w:lineRule="auto"/>
    </w:pPr>
    <w:rPr>
      <w:rFonts w:ascii="Times New Roman" w:eastAsiaTheme="minorEastAsia" w:hAnsi="Times New Roman"/>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676F59"/>
    <w:pPr>
      <w:numPr>
        <w:ilvl w:val="1"/>
        <w:numId w:val="17"/>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76F59"/>
    <w:pPr>
      <w:numPr>
        <w:ilvl w:val="2"/>
        <w:numId w:val="17"/>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76F59"/>
    <w:pPr>
      <w:numPr>
        <w:ilvl w:val="3"/>
        <w:numId w:val="17"/>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76F59"/>
    <w:pPr>
      <w:numPr>
        <w:ilvl w:val="4"/>
        <w:numId w:val="17"/>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76F59"/>
    <w:pPr>
      <w:numPr>
        <w:numId w:val="2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76F59"/>
    <w:pPr>
      <w:numPr>
        <w:ilvl w:val="1"/>
        <w:numId w:val="2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76F59"/>
    <w:pPr>
      <w:numPr>
        <w:ilvl w:val="2"/>
        <w:numId w:val="2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76F59"/>
    <w:pPr>
      <w:numPr>
        <w:ilvl w:val="3"/>
        <w:numId w:val="2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76F59"/>
    <w:pPr>
      <w:numPr>
        <w:ilvl w:val="4"/>
        <w:numId w:val="27"/>
      </w:numPr>
      <w:spacing w:after="0" w:line="276" w:lineRule="auto"/>
    </w:pPr>
    <w:rPr>
      <w:rFonts w:ascii="Times New Roman" w:eastAsiaTheme="minorEastAsia" w:hAnsi="Times New Roman"/>
      <w:spacing w:val="4"/>
      <w:szCs w:val="22"/>
    </w:rPr>
  </w:style>
  <w:style w:type="paragraph" w:customStyle="1" w:styleId="opplisting">
    <w:name w:val="opplisting"/>
    <w:basedOn w:val="Normal"/>
    <w:rsid w:val="00676F59"/>
    <w:pPr>
      <w:spacing w:after="0" w:line="276" w:lineRule="auto"/>
    </w:pPr>
    <w:rPr>
      <w:rFonts w:eastAsiaTheme="minorEastAsia"/>
      <w:szCs w:val="22"/>
    </w:rPr>
  </w:style>
  <w:style w:type="paragraph" w:customStyle="1" w:styleId="opplisting2">
    <w:name w:val="opplisting 2"/>
    <w:basedOn w:val="Normal"/>
    <w:qFormat/>
    <w:rsid w:val="00676F59"/>
    <w:pPr>
      <w:spacing w:after="0" w:line="276" w:lineRule="auto"/>
      <w:ind w:left="397"/>
    </w:pPr>
    <w:rPr>
      <w:rFonts w:ascii="Times New Roman" w:eastAsiaTheme="minorEastAsia" w:hAnsi="Times New Roman"/>
      <w:szCs w:val="22"/>
      <w:lang w:val="en-US"/>
    </w:rPr>
  </w:style>
  <w:style w:type="paragraph" w:customStyle="1" w:styleId="opplisting3">
    <w:name w:val="opplisting 3"/>
    <w:basedOn w:val="Normal"/>
    <w:qFormat/>
    <w:rsid w:val="00676F59"/>
    <w:pPr>
      <w:spacing w:after="0" w:line="276" w:lineRule="auto"/>
      <w:ind w:left="794"/>
    </w:pPr>
    <w:rPr>
      <w:rFonts w:ascii="Times New Roman" w:eastAsiaTheme="minorEastAsia" w:hAnsi="Times New Roman"/>
      <w:szCs w:val="22"/>
    </w:rPr>
  </w:style>
  <w:style w:type="paragraph" w:customStyle="1" w:styleId="opplisting4">
    <w:name w:val="opplisting 4"/>
    <w:basedOn w:val="Normal"/>
    <w:qFormat/>
    <w:rsid w:val="00676F59"/>
    <w:pPr>
      <w:spacing w:after="0" w:line="276" w:lineRule="auto"/>
      <w:ind w:left="1191"/>
    </w:pPr>
    <w:rPr>
      <w:rFonts w:ascii="Times New Roman" w:eastAsiaTheme="minorEastAsia" w:hAnsi="Times New Roman"/>
      <w:szCs w:val="22"/>
    </w:rPr>
  </w:style>
  <w:style w:type="paragraph" w:customStyle="1" w:styleId="opplisting5">
    <w:name w:val="opplisting 5"/>
    <w:basedOn w:val="Normal"/>
    <w:qFormat/>
    <w:rsid w:val="00676F59"/>
    <w:pPr>
      <w:spacing w:after="0" w:line="276" w:lineRule="auto"/>
      <w:ind w:left="1588"/>
    </w:pPr>
    <w:rPr>
      <w:rFonts w:ascii="Times New Roman" w:eastAsiaTheme="minorEastAsia" w:hAnsi="Times New Roman"/>
      <w:szCs w:val="22"/>
    </w:rPr>
  </w:style>
  <w:style w:type="paragraph" w:customStyle="1" w:styleId="friliste">
    <w:name w:val="friliste"/>
    <w:basedOn w:val="Normal"/>
    <w:qFormat/>
    <w:rsid w:val="00676F59"/>
    <w:pPr>
      <w:tabs>
        <w:tab w:val="left" w:pos="397"/>
      </w:tabs>
      <w:spacing w:after="0" w:line="276" w:lineRule="auto"/>
      <w:ind w:left="397" w:hanging="397"/>
    </w:pPr>
    <w:rPr>
      <w:rFonts w:ascii="Times New Roman" w:eastAsiaTheme="minorEastAsia" w:hAnsi="Times New Roman"/>
      <w:szCs w:val="22"/>
    </w:rPr>
  </w:style>
  <w:style w:type="paragraph" w:customStyle="1" w:styleId="friliste2">
    <w:name w:val="friliste 2"/>
    <w:basedOn w:val="Normal"/>
    <w:qFormat/>
    <w:rsid w:val="00676F59"/>
    <w:pPr>
      <w:tabs>
        <w:tab w:val="left" w:pos="794"/>
      </w:tabs>
      <w:spacing w:after="0" w:line="276" w:lineRule="auto"/>
      <w:ind w:left="794" w:hanging="397"/>
    </w:pPr>
    <w:rPr>
      <w:rFonts w:ascii="Times New Roman" w:eastAsiaTheme="minorEastAsia" w:hAnsi="Times New Roman"/>
      <w:szCs w:val="22"/>
    </w:rPr>
  </w:style>
  <w:style w:type="paragraph" w:customStyle="1" w:styleId="friliste3">
    <w:name w:val="friliste 3"/>
    <w:basedOn w:val="Normal"/>
    <w:qFormat/>
    <w:rsid w:val="00676F59"/>
    <w:pPr>
      <w:tabs>
        <w:tab w:val="left" w:pos="1191"/>
      </w:tabs>
      <w:spacing w:after="0" w:line="276" w:lineRule="auto"/>
      <w:ind w:left="1191" w:hanging="397"/>
    </w:pPr>
    <w:rPr>
      <w:rFonts w:ascii="Times New Roman" w:eastAsiaTheme="minorEastAsia" w:hAnsi="Times New Roman"/>
      <w:szCs w:val="22"/>
    </w:rPr>
  </w:style>
  <w:style w:type="paragraph" w:customStyle="1" w:styleId="friliste4">
    <w:name w:val="friliste 4"/>
    <w:basedOn w:val="Normal"/>
    <w:qFormat/>
    <w:rsid w:val="00676F59"/>
    <w:pPr>
      <w:tabs>
        <w:tab w:val="left" w:pos="1588"/>
      </w:tabs>
      <w:spacing w:after="0" w:line="276" w:lineRule="auto"/>
      <w:ind w:left="1588" w:hanging="397"/>
    </w:pPr>
    <w:rPr>
      <w:rFonts w:ascii="Times New Roman" w:eastAsiaTheme="minorEastAsia" w:hAnsi="Times New Roman"/>
      <w:szCs w:val="22"/>
    </w:rPr>
  </w:style>
  <w:style w:type="paragraph" w:customStyle="1" w:styleId="friliste5">
    <w:name w:val="friliste 5"/>
    <w:basedOn w:val="Normal"/>
    <w:qFormat/>
    <w:rsid w:val="00676F59"/>
    <w:pPr>
      <w:tabs>
        <w:tab w:val="left" w:pos="1985"/>
      </w:tabs>
      <w:spacing w:after="0" w:line="276" w:lineRule="auto"/>
      <w:ind w:left="1985" w:hanging="397"/>
    </w:pPr>
    <w:rPr>
      <w:rFonts w:ascii="Times New Roman" w:eastAsiaTheme="minorEastAsia" w:hAnsi="Times New Roman"/>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76F59"/>
    <w:pPr>
      <w:numPr>
        <w:numId w:val="26"/>
      </w:numPr>
      <w:tabs>
        <w:tab w:val="num" w:pos="2000"/>
      </w:tabs>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76F59"/>
    <w:pPr>
      <w:numPr>
        <w:numId w:val="26"/>
      </w:numPr>
      <w:tabs>
        <w:tab w:val="num" w:pos="2000"/>
      </w:tabs>
      <w:spacing w:line="276" w:lineRule="auto"/>
    </w:pPr>
    <w:rPr>
      <w:rFonts w:ascii="Times New Roman" w:eastAsiaTheme="minorEastAsia" w:hAnsi="Times New Roman"/>
      <w:spacing w:val="4"/>
      <w:szCs w:val="22"/>
    </w:rPr>
  </w:style>
  <w:style w:type="paragraph" w:customStyle="1" w:styleId="avsnitt-undertittel">
    <w:name w:val="avsnitt-undertittel"/>
    <w:basedOn w:val="Normal"/>
    <w:next w:val="Normal"/>
    <w:rsid w:val="00676F59"/>
    <w:pPr>
      <w:keepNext/>
      <w:keepLines/>
      <w:spacing w:before="36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76F59"/>
    <w:pPr>
      <w:numPr>
        <w:numId w:val="26"/>
      </w:numPr>
      <w:tabs>
        <w:tab w:val="num" w:pos="2000"/>
      </w:tabs>
      <w:spacing w:line="276" w:lineRule="auto"/>
    </w:pPr>
    <w:rPr>
      <w:rFonts w:ascii="Times New Roman" w:eastAsiaTheme="minorEastAsia" w:hAnsi="Times New Roman"/>
      <w:szCs w:val="22"/>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76F59"/>
    <w:pPr>
      <w:numPr>
        <w:numId w:val="26"/>
      </w:numPr>
      <w:tabs>
        <w:tab w:val="num" w:pos="2000"/>
      </w:tabs>
      <w:spacing w:line="276" w:lineRule="auto"/>
    </w:pPr>
    <w:rPr>
      <w:rFonts w:ascii="Times New Roman" w:eastAsiaTheme="minorEastAsia" w:hAnsi="Times New Roman"/>
      <w:szCs w:val="22"/>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76F59"/>
    <w:pPr>
      <w:numPr>
        <w:numId w:val="26"/>
      </w:numPr>
      <w:spacing w:line="276" w:lineRule="auto"/>
    </w:pPr>
    <w:rPr>
      <w:rFonts w:ascii="Times New Roman" w:eastAsiaTheme="minorEastAsia" w:hAnsi="Times New Roman"/>
      <w:szCs w:val="22"/>
    </w:rPr>
  </w:style>
  <w:style w:type="paragraph" w:customStyle="1" w:styleId="avsnitt-under-undertittel">
    <w:name w:val="avsnitt-under-undertittel"/>
    <w:basedOn w:val="Normal"/>
    <w:next w:val="Normal"/>
    <w:rsid w:val="00676F59"/>
    <w:pPr>
      <w:keepNext/>
      <w:keepLines/>
      <w:spacing w:before="360"/>
    </w:pPr>
    <w:rPr>
      <w:rFonts w:ascii="Times New Roman" w:hAnsi="Times New Roman"/>
      <w:i/>
    </w:rPr>
  </w:style>
  <w:style w:type="paragraph" w:customStyle="1" w:styleId="blokksit">
    <w:name w:val="blokksit"/>
    <w:basedOn w:val="Normal"/>
    <w:qFormat/>
    <w:rsid w:val="00676F59"/>
    <w:pPr>
      <w:ind w:left="397"/>
    </w:pPr>
    <w:rPr>
      <w:rFonts w:eastAsiaTheme="minorEastAsia"/>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76F59"/>
    <w:pPr>
      <w:spacing w:before="180" w:after="0" w:line="276" w:lineRule="auto"/>
    </w:pPr>
    <w:rPr>
      <w:rFonts w:eastAsiaTheme="minorEastAsia"/>
      <w:i/>
      <w:spacing w:val="4"/>
      <w:szCs w:val="22"/>
    </w:rPr>
  </w:style>
  <w:style w:type="paragraph" w:customStyle="1" w:styleId="l-ledd">
    <w:name w:val="l-ledd"/>
    <w:basedOn w:val="Normal"/>
    <w:qFormat/>
    <w:rsid w:val="00676F59"/>
    <w:pPr>
      <w:spacing w:after="0" w:line="276" w:lineRule="auto"/>
      <w:ind w:firstLine="397"/>
    </w:pPr>
    <w:rPr>
      <w:rFonts w:eastAsiaTheme="minorEastAsia"/>
      <w:spacing w:val="4"/>
      <w:szCs w:val="22"/>
    </w:rPr>
  </w:style>
  <w:style w:type="paragraph" w:customStyle="1" w:styleId="l-tit-endr-paragraf">
    <w:name w:val="l-tit-endr-paragraf"/>
    <w:basedOn w:val="Normal"/>
    <w:qFormat/>
    <w:rsid w:val="00676F59"/>
    <w:pPr>
      <w:keepNext/>
      <w:spacing w:before="240" w:after="0"/>
    </w:pPr>
    <w:rPr>
      <w:rFonts w:eastAsiaTheme="minorEastAsia"/>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76F59"/>
    <w:pPr>
      <w:keepNext/>
      <w:keepLines/>
      <w:numPr>
        <w:ilvl w:val="7"/>
        <w:numId w:val="29"/>
      </w:numPr>
      <w:spacing w:before="360" w:after="80" w:line="276" w:lineRule="auto"/>
      <w:jc w:val="center"/>
    </w:pPr>
    <w:rPr>
      <w:rFonts w:ascii="Arial" w:eastAsiaTheme="minorEastAsia" w:hAnsi="Arial"/>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Calibri" w:hAnsi="Calibri"/>
      <w:color w:val="000000"/>
      <w:sz w:val="24"/>
      <w:u w:val="none"/>
      <w:lang w:val="en-US" w:eastAsia="x-none"/>
    </w:rPr>
  </w:style>
  <w:style w:type="character" w:customStyle="1" w:styleId="Bullet4">
    <w:name w:val="Bullet4"/>
    <w:uiPriority w:val="99"/>
    <w:rPr>
      <w:rFonts w:ascii="Symbol" w:hAnsi="Symbol"/>
      <w:color w:val="000000"/>
      <w:sz w:val="24"/>
      <w:u w:val="none"/>
      <w:lang w:val="en-US" w:eastAsia="x-none"/>
    </w:rPr>
  </w:style>
  <w:style w:type="character" w:customStyle="1" w:styleId="Bullet5">
    <w:name w:val="Bullet5"/>
    <w:uiPriority w:val="99"/>
    <w:rPr>
      <w:rFonts w:ascii="Calibri" w:hAnsi="Calibri"/>
      <w:color w:val="000000"/>
      <w:sz w:val="24"/>
      <w:u w:val="none"/>
      <w:lang w:val="en-US" w:eastAsia="x-none"/>
    </w:rPr>
  </w:style>
  <w:style w:type="character" w:customStyle="1" w:styleId="Bullet6">
    <w:name w:val="Bullet6"/>
    <w:uiPriority w:val="99"/>
    <w:rPr>
      <w:color w:val="000000"/>
      <w:u w:val="none"/>
    </w:rPr>
  </w:style>
  <w:style w:type="character" w:customStyle="1" w:styleId="Bullet7">
    <w:name w:val="Bullet7"/>
    <w:uiPriority w:val="99"/>
    <w:rPr>
      <w:rFonts w:ascii="Calibri" w:hAnsi="Calibri"/>
      <w:color w:val="000000"/>
      <w:sz w:val="24"/>
      <w:u w:val="none"/>
      <w:lang w:val="en-US" w:eastAsia="x-none"/>
    </w:rPr>
  </w:style>
  <w:style w:type="character" w:customStyle="1" w:styleId="Bullet8">
    <w:name w:val="Bullet8"/>
    <w:uiPriority w:val="99"/>
    <w:rPr>
      <w:rFonts w:ascii="Symbol" w:hAnsi="Symbol"/>
      <w:color w:val="000000"/>
      <w:sz w:val="24"/>
      <w:u w:val="none"/>
      <w:lang w:val="en-US" w:eastAsia="x-none"/>
    </w:rPr>
  </w:style>
  <w:style w:type="character" w:styleId="Merknadsreferanse">
    <w:name w:val="annotation reference"/>
    <w:basedOn w:val="Standardskriftforavsnitt"/>
    <w:uiPriority w:val="99"/>
    <w:rsid w:val="00676F59"/>
    <w:rPr>
      <w:sz w:val="16"/>
    </w:rPr>
  </w:style>
  <w:style w:type="character" w:styleId="Boktittel">
    <w:name w:val="Book Title"/>
    <w:basedOn w:val="Standardskriftforavsnitt"/>
    <w:uiPriority w:val="33"/>
    <w:qFormat/>
    <w:rsid w:val="00676F59"/>
    <w:rPr>
      <w:b/>
      <w:smallCaps/>
      <w:spacing w:val="5"/>
    </w:rPr>
  </w:style>
  <w:style w:type="character" w:styleId="Fulgthyperkobling">
    <w:name w:val="FollowedHyperlink"/>
    <w:basedOn w:val="Standardskriftforavsnitt"/>
    <w:uiPriority w:val="99"/>
    <w:unhideWhenUsed/>
    <w:rsid w:val="00676F59"/>
    <w:rPr>
      <w:color w:val="800080"/>
      <w:u w:val="single"/>
    </w:rPr>
  </w:style>
  <w:style w:type="character" w:styleId="HTML-definisjon">
    <w:name w:val="HTML Definition"/>
    <w:basedOn w:val="Standardskriftforavsnitt"/>
    <w:uiPriority w:val="99"/>
    <w:unhideWhenUsed/>
    <w:rsid w:val="00676F59"/>
    <w:rPr>
      <w:i/>
    </w:rPr>
  </w:style>
  <w:style w:type="character" w:styleId="HTML-eksempel">
    <w:name w:val="HTML Sample"/>
    <w:basedOn w:val="Standardskriftforavsnitt"/>
    <w:uiPriority w:val="99"/>
    <w:unhideWhenUsed/>
    <w:rsid w:val="00676F59"/>
    <w:rPr>
      <w:rFonts w:ascii="Consolas" w:hAnsi="Consolas"/>
      <w:sz w:val="24"/>
    </w:rPr>
  </w:style>
  <w:style w:type="character" w:styleId="HTML-kode">
    <w:name w:val="HTML Code"/>
    <w:basedOn w:val="Standardskriftforavsnitt"/>
    <w:uiPriority w:val="99"/>
    <w:unhideWhenUsed/>
    <w:rsid w:val="00676F59"/>
    <w:rPr>
      <w:rFonts w:ascii="Consolas" w:hAnsi="Consolas"/>
      <w:sz w:val="20"/>
    </w:rPr>
  </w:style>
  <w:style w:type="character" w:styleId="HTML-sitat">
    <w:name w:val="HTML Cite"/>
    <w:basedOn w:val="Standardskriftforavsnitt"/>
    <w:uiPriority w:val="99"/>
    <w:unhideWhenUsed/>
    <w:rsid w:val="00676F59"/>
    <w:rPr>
      <w:i/>
    </w:rPr>
  </w:style>
  <w:style w:type="character" w:styleId="HTML-skrivemaskin">
    <w:name w:val="HTML Typewriter"/>
    <w:basedOn w:val="Standardskriftforavsnitt"/>
    <w:uiPriority w:val="99"/>
    <w:unhideWhenUsed/>
    <w:rsid w:val="00676F59"/>
    <w:rPr>
      <w:rFonts w:ascii="Consolas" w:hAnsi="Consolas"/>
      <w:sz w:val="20"/>
    </w:rPr>
  </w:style>
  <w:style w:type="character" w:styleId="HTML-tastatur">
    <w:name w:val="HTML Keyboard"/>
    <w:basedOn w:val="Standardskriftforavsnitt"/>
    <w:uiPriority w:val="99"/>
    <w:unhideWhenUsed/>
    <w:rsid w:val="00676F59"/>
    <w:rPr>
      <w:rFonts w:ascii="Consolas" w:hAnsi="Consolas"/>
      <w:sz w:val="20"/>
    </w:rPr>
  </w:style>
  <w:style w:type="character" w:styleId="HTML-variabel">
    <w:name w:val="HTML Variable"/>
    <w:basedOn w:val="Standardskriftforavsnitt"/>
    <w:uiPriority w:val="99"/>
    <w:unhideWhenUsed/>
    <w:rsid w:val="00676F59"/>
    <w:rPr>
      <w:i/>
    </w:rPr>
  </w:style>
  <w:style w:type="character" w:styleId="Sluttnotereferanse">
    <w:name w:val="endnote reference"/>
    <w:basedOn w:val="Standardskriftforavsnitt"/>
    <w:uiPriority w:val="99"/>
    <w:unhideWhenUsed/>
    <w:rsid w:val="00676F59"/>
    <w:rPr>
      <w:vertAlign w:val="superscript"/>
    </w:rPr>
  </w:style>
  <w:style w:type="character" w:styleId="Sterkreferanse">
    <w:name w:val="Intense Reference"/>
    <w:basedOn w:val="Standardskriftforavsnitt"/>
    <w:uiPriority w:val="32"/>
    <w:qFormat/>
    <w:rsid w:val="00676F59"/>
    <w:rPr>
      <w:b/>
      <w:smallCaps/>
      <w:color w:val="C0504D"/>
      <w:spacing w:val="5"/>
      <w:u w:val="single"/>
    </w:rPr>
  </w:style>
  <w:style w:type="character" w:styleId="Sterkutheving">
    <w:name w:val="Intense Emphasis"/>
    <w:basedOn w:val="Standardskriftforavsnitt"/>
    <w:uiPriority w:val="21"/>
    <w:qFormat/>
    <w:rsid w:val="00676F59"/>
    <w:rPr>
      <w:b/>
      <w:i/>
      <w:color w:val="4F81BD"/>
    </w:rPr>
  </w:style>
  <w:style w:type="character" w:styleId="Svakreferanse">
    <w:name w:val="Subtle Reference"/>
    <w:basedOn w:val="Standardskriftforavsnitt"/>
    <w:uiPriority w:val="31"/>
    <w:qFormat/>
    <w:rsid w:val="00676F59"/>
    <w:rPr>
      <w:smallCaps/>
      <w:color w:val="C0504D"/>
      <w:u w:val="single"/>
    </w:rPr>
  </w:style>
  <w:style w:type="character" w:styleId="Svakutheving">
    <w:name w:val="Subtle Emphasis"/>
    <w:basedOn w:val="Standardskriftforavsnitt"/>
    <w:uiPriority w:val="19"/>
    <w:qFormat/>
    <w:rsid w:val="00676F59"/>
    <w:rPr>
      <w:i/>
      <w:color w:val="808080"/>
    </w:rPr>
  </w:style>
  <w:style w:type="character" w:styleId="Utheving">
    <w:name w:val="Emphasis"/>
    <w:basedOn w:val="Standardskriftforavsnitt"/>
    <w:uiPriority w:val="20"/>
    <w:qFormat/>
    <w:rsid w:val="00676F59"/>
    <w:rPr>
      <w:i/>
    </w:rPr>
  </w:style>
  <w:style w:type="character" w:customStyle="1" w:styleId="b-budkaptitTegn">
    <w:name w:val="b-budkaptit Tegn"/>
    <w:uiPriority w:val="99"/>
    <w:rPr>
      <w:rFonts w:ascii="Arial" w:hAnsi="Arial"/>
      <w:b/>
      <w:color w:val="000000"/>
      <w:sz w:val="28"/>
      <w:u w:val="none"/>
      <w:lang w:val="en-US" w:eastAsia="x-none"/>
    </w:rPr>
  </w:style>
  <w:style w:type="character" w:customStyle="1" w:styleId="ListeavsnittTegn">
    <w:name w:val="Listeavsnitt Tegn"/>
    <w:uiPriority w:val="99"/>
    <w:rPr>
      <w:rFonts w:ascii="Times New Roman" w:hAnsi="Times New Roman"/>
      <w:color w:val="000000"/>
      <w:sz w:val="24"/>
      <w:u w:val="none"/>
      <w:lang w:val="en-US" w:eastAsia="x-none"/>
    </w:rPr>
  </w:style>
  <w:style w:type="character" w:customStyle="1" w:styleId="avsnitt-undertittelTegn">
    <w:name w:val="avsnitt-undertittel Tegn"/>
    <w:uiPriority w:val="99"/>
    <w:rPr>
      <w:rFonts w:ascii="Arial" w:hAnsi="Arial"/>
      <w:i/>
      <w:color w:val="000000"/>
      <w:sz w:val="24"/>
      <w:u w:val="none"/>
      <w:lang w:val="en-US" w:eastAsia="x-none"/>
    </w:rPr>
  </w:style>
  <w:style w:type="character" w:customStyle="1" w:styleId="TalepunktChar">
    <w:name w:val="Talepunkt Char"/>
    <w:uiPriority w:val="99"/>
    <w:rPr>
      <w:rFonts w:ascii="DepCentury Old Style" w:hAnsi="DepCentury Old Style"/>
      <w:b/>
      <w:color w:val="000000"/>
      <w:sz w:val="24"/>
      <w:u w:val="none"/>
      <w:lang w:val="en-US" w:eastAsia="x-none"/>
    </w:rPr>
  </w:style>
  <w:style w:type="character" w:customStyle="1" w:styleId="longdoc-highlight2">
    <w:name w:val="longdoc-highlight2"/>
    <w:uiPriority w:val="99"/>
    <w:rPr>
      <w:color w:val="000000"/>
      <w:sz w:val="24"/>
      <w:u w:val="none"/>
      <w:lang w:val="en-US" w:eastAsia="x-none"/>
    </w:rPr>
  </w:style>
  <w:style w:type="character" w:customStyle="1" w:styleId="a-vedtak-tekstTegn">
    <w:name w:val="a-vedtak-tekst Tegn"/>
    <w:uiPriority w:val="99"/>
    <w:rPr>
      <w:rFonts w:ascii="Times" w:hAnsi="Times"/>
      <w:color w:val="000000"/>
      <w:sz w:val="24"/>
      <w:u w:val="none"/>
      <w:lang w:val="en-US" w:eastAsia="x-none"/>
    </w:rPr>
  </w:style>
  <w:style w:type="character" w:customStyle="1" w:styleId="Hashtag">
    <w:name w:val="Hashtag"/>
    <w:uiPriority w:val="99"/>
    <w:rPr>
      <w:color w:val="2B579A"/>
      <w:sz w:val="24"/>
      <w:u w:val="none"/>
      <w:lang w:val="en-US" w:eastAsia="x-none"/>
    </w:rPr>
  </w:style>
  <w:style w:type="character" w:customStyle="1" w:styleId="Mention">
    <w:name w:val="Mention"/>
    <w:uiPriority w:val="99"/>
    <w:rPr>
      <w:color w:val="2B579A"/>
      <w:sz w:val="24"/>
      <w:u w:val="none"/>
      <w:lang w:val="en-US" w:eastAsia="x-none"/>
    </w:rPr>
  </w:style>
  <w:style w:type="character" w:customStyle="1" w:styleId="SmartHyperlink">
    <w:name w:val="Smart Hyperlink"/>
    <w:uiPriority w:val="99"/>
    <w:rPr>
      <w:color w:val="000000"/>
      <w:sz w:val="24"/>
      <w:u w:val="thick"/>
      <w:lang w:val="en-US" w:eastAsia="x-none"/>
    </w:rPr>
  </w:style>
  <w:style w:type="character" w:customStyle="1" w:styleId="UnresolvedMention">
    <w:name w:val="Unresolved Mention"/>
    <w:uiPriority w:val="99"/>
    <w:rPr>
      <w:color w:val="808080"/>
      <w:sz w:val="24"/>
      <w:u w:val="none"/>
      <w:lang w:val="en-US" w:eastAsia="x-none"/>
    </w:rPr>
  </w:style>
  <w:style w:type="character" w:customStyle="1" w:styleId="Bullet9">
    <w:name w:val="Bullet9"/>
    <w:uiPriority w:val="99"/>
    <w:rPr>
      <w:rFonts w:ascii="Calibri" w:hAnsi="Calibri"/>
      <w:color w:val="000000"/>
      <w:sz w:val="24"/>
      <w:u w:val="none"/>
      <w:lang w:val="en-US" w:eastAsia="x-none"/>
    </w:rPr>
  </w:style>
  <w:style w:type="character" w:customStyle="1" w:styleId="Bullet10">
    <w:name w:val="Bullet10"/>
    <w:uiPriority w:val="99"/>
    <w:rPr>
      <w:rFonts w:ascii="Symbol" w:hAnsi="Symbol"/>
      <w:color w:val="000000"/>
      <w:sz w:val="24"/>
      <w:u w:val="none"/>
      <w:lang w:val="en-US" w:eastAsia="x-none"/>
    </w:rPr>
  </w:style>
  <w:style w:type="character" w:customStyle="1" w:styleId="Bullet11">
    <w:name w:val="Bullet11"/>
    <w:uiPriority w:val="99"/>
    <w:rPr>
      <w:rFonts w:ascii="Symbol" w:hAnsi="Symbol"/>
      <w:color w:val="000000"/>
      <w:sz w:val="24"/>
      <w:u w:val="none"/>
      <w:lang w:val="en-US" w:eastAsia="x-none"/>
    </w:rPr>
  </w:style>
  <w:style w:type="character" w:customStyle="1" w:styleId="Bullet12">
    <w:name w:val="Bullet12"/>
    <w:uiPriority w:val="99"/>
    <w:rPr>
      <w:rFonts w:ascii="Calibri" w:hAnsi="Calibri"/>
      <w:color w:val="000000"/>
      <w:sz w:val="24"/>
      <w:u w:val="none"/>
      <w:lang w:val="en-US" w:eastAsia="x-none"/>
    </w:rPr>
  </w:style>
  <w:style w:type="character" w:customStyle="1" w:styleId="Bullet13">
    <w:name w:val="Bullet13"/>
    <w:uiPriority w:val="99"/>
    <w:rPr>
      <w:rFonts w:ascii="Calibri" w:hAnsi="Calibri"/>
      <w:color w:val="000000"/>
      <w:sz w:val="24"/>
      <w:u w:val="none"/>
      <w:lang w:val="en-US" w:eastAsia="x-none"/>
    </w:rPr>
  </w:style>
  <w:style w:type="character" w:customStyle="1" w:styleId="Bullet14">
    <w:name w:val="Bullet14"/>
    <w:uiPriority w:val="99"/>
    <w:rPr>
      <w:rFonts w:ascii="Calibri" w:hAnsi="Calibri"/>
      <w:color w:val="000000"/>
      <w:sz w:val="24"/>
      <w:u w:val="none"/>
      <w:lang w:val="en-US" w:eastAsia="x-none"/>
    </w:rPr>
  </w:style>
  <w:style w:type="character" w:customStyle="1" w:styleId="Bullet15">
    <w:name w:val="Bullet15"/>
    <w:uiPriority w:val="99"/>
    <w:rPr>
      <w:rFonts w:ascii="Calibri" w:hAnsi="Calibri"/>
      <w:color w:val="000000"/>
      <w:sz w:val="24"/>
      <w:u w:val="none"/>
      <w:lang w:val="en-US" w:eastAsia="x-none"/>
    </w:rPr>
  </w:style>
  <w:style w:type="character" w:customStyle="1" w:styleId="Bullet16">
    <w:name w:val="Bullet16"/>
    <w:uiPriority w:val="99"/>
    <w:rPr>
      <w:rFonts w:ascii="Calibri" w:hAnsi="Calibri"/>
      <w:color w:val="000000"/>
      <w:sz w:val="24"/>
      <w:u w:val="none"/>
      <w:lang w:val="en-US" w:eastAsia="x-none"/>
    </w:rPr>
  </w:style>
  <w:style w:type="character" w:customStyle="1" w:styleId="Bullet17">
    <w:name w:val="Bullet17"/>
    <w:uiPriority w:val="99"/>
    <w:rPr>
      <w:rFonts w:ascii="Calibri" w:hAnsi="Calibri"/>
      <w:color w:val="000000"/>
      <w:sz w:val="24"/>
      <w:u w:val="none"/>
      <w:lang w:val="en-US" w:eastAsia="x-none"/>
    </w:rPr>
  </w:style>
  <w:style w:type="character" w:customStyle="1" w:styleId="Bullet18">
    <w:name w:val="Bullet18"/>
    <w:uiPriority w:val="99"/>
    <w:rPr>
      <w:rFonts w:ascii="Calibri" w:hAnsi="Calibri"/>
      <w:color w:val="000000"/>
      <w:sz w:val="24"/>
      <w:u w:val="none"/>
      <w:lang w:val="en-US" w:eastAsia="x-none"/>
    </w:rPr>
  </w:style>
  <w:style w:type="character" w:customStyle="1" w:styleId="Bullet19">
    <w:name w:val="Bullet19"/>
    <w:uiPriority w:val="99"/>
    <w:rPr>
      <w:color w:val="000000"/>
      <w:u w:val="none"/>
    </w:rPr>
  </w:style>
  <w:style w:type="character" w:customStyle="1" w:styleId="Bullet20">
    <w:name w:val="Bullet20"/>
    <w:uiPriority w:val="99"/>
    <w:rPr>
      <w:color w:val="000000"/>
      <w:u w:val="none"/>
    </w:rPr>
  </w:style>
  <w:style w:type="character" w:customStyle="1" w:styleId="Bullet21">
    <w:name w:val="Bullet21"/>
    <w:uiPriority w:val="99"/>
    <w:rPr>
      <w:color w:val="000000"/>
      <w:u w:val="none"/>
    </w:rPr>
  </w:style>
  <w:style w:type="character" w:customStyle="1" w:styleId="Bullet22">
    <w:name w:val="Bullet22"/>
    <w:uiPriority w:val="99"/>
    <w:rPr>
      <w:color w:val="000000"/>
      <w:u w:val="none"/>
    </w:rPr>
  </w:style>
  <w:style w:type="character" w:customStyle="1" w:styleId="Bullet23">
    <w:name w:val="Bullet23"/>
    <w:uiPriority w:val="99"/>
    <w:rPr>
      <w:color w:val="000000"/>
      <w:u w:val="none"/>
    </w:rPr>
  </w:style>
  <w:style w:type="character" w:customStyle="1" w:styleId="Bullet24">
    <w:name w:val="Bullet24"/>
    <w:uiPriority w:val="99"/>
    <w:rPr>
      <w:color w:val="000000"/>
      <w:u w:val="none"/>
    </w:rPr>
  </w:style>
  <w:style w:type="character" w:customStyle="1" w:styleId="Bullet25">
    <w:name w:val="Bullet25"/>
    <w:uiPriority w:val="99"/>
    <w:rPr>
      <w:color w:val="000000"/>
      <w:u w:val="none"/>
    </w:rPr>
  </w:style>
  <w:style w:type="character" w:customStyle="1" w:styleId="Bombe">
    <w:name w:val="Bombe"/>
    <w:uiPriority w:val="99"/>
    <w:rPr>
      <w:rFonts w:ascii="UniMyriad Bold" w:hAnsi="UniMyriad Bold"/>
      <w:w w:val="100"/>
      <w:u w:val="none"/>
      <w:vertAlign w:val="baseline"/>
    </w:rPr>
  </w:style>
  <w:style w:type="character" w:styleId="Fotnotereferanse">
    <w:name w:val="footnote reference"/>
    <w:basedOn w:val="Standardskriftforavsnitt"/>
    <w:uiPriority w:val="99"/>
    <w:rsid w:val="00676F59"/>
    <w:rPr>
      <w:vertAlign w:val="superscript"/>
    </w:rPr>
  </w:style>
  <w:style w:type="character" w:customStyle="1" w:styleId="gjennomstreket">
    <w:name w:val="gjennomstreket"/>
    <w:uiPriority w:val="99"/>
    <w:rPr>
      <w:strike/>
      <w:u w:val="none"/>
      <w:vertAlign w:val="baseline"/>
      <w:lang w:val="nb-NO" w:eastAsia="x-none"/>
    </w:rPr>
  </w:style>
  <w:style w:type="character" w:customStyle="1" w:styleId="halvfet0">
    <w:name w:val="halvfet"/>
    <w:rsid w:val="00676F59"/>
    <w:rPr>
      <w:b/>
    </w:rPr>
  </w:style>
  <w:style w:type="character" w:styleId="Hyperkobling">
    <w:name w:val="Hyperlink"/>
    <w:basedOn w:val="Standardskriftforavsnitt"/>
    <w:uiPriority w:val="99"/>
    <w:unhideWhenUsed/>
    <w:rsid w:val="00676F59"/>
    <w:rPr>
      <w:color w:val="0000FF"/>
      <w:u w:val="single"/>
    </w:rPr>
  </w:style>
  <w:style w:type="character" w:customStyle="1" w:styleId="kursiv">
    <w:name w:val="kursiv"/>
    <w:rsid w:val="00676F59"/>
    <w:rPr>
      <w:i/>
    </w:rPr>
  </w:style>
  <w:style w:type="character" w:customStyle="1" w:styleId="l-endring">
    <w:name w:val="l-endring"/>
    <w:rsid w:val="00676F59"/>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676F59"/>
  </w:style>
  <w:style w:type="character" w:styleId="Plassholdertekst">
    <w:name w:val="Placeholder Text"/>
    <w:basedOn w:val="Standardskriftforavsnitt"/>
    <w:uiPriority w:val="99"/>
    <w:rsid w:val="00676F59"/>
    <w:rPr>
      <w:color w:val="808080"/>
    </w:rPr>
  </w:style>
  <w:style w:type="character" w:customStyle="1" w:styleId="regular">
    <w:name w:val="regular"/>
    <w:uiPriority w:val="1"/>
    <w:qFormat/>
    <w:rsid w:val="00676F59"/>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krift-hevet">
    <w:name w:val="skrift-hevet"/>
    <w:rsid w:val="00676F59"/>
    <w:rPr>
      <w:vertAlign w:val="superscript"/>
    </w:rPr>
  </w:style>
  <w:style w:type="character" w:customStyle="1" w:styleId="skrift-senket">
    <w:name w:val="skrift-senket"/>
    <w:rsid w:val="00676F59"/>
    <w:rPr>
      <w:vertAlign w:val="subscript"/>
    </w:rPr>
  </w:style>
  <w:style w:type="character" w:customStyle="1" w:styleId="sperret0">
    <w:name w:val="sperret"/>
    <w:rsid w:val="00676F59"/>
    <w:rPr>
      <w:spacing w:val="30"/>
    </w:rPr>
  </w:style>
  <w:style w:type="character" w:customStyle="1" w:styleId="Stikkord">
    <w:name w:val="Stikkord"/>
    <w:rsid w:val="00676F59"/>
    <w:rPr>
      <w:color w:val="0000FF"/>
    </w:rPr>
  </w:style>
  <w:style w:type="character" w:customStyle="1" w:styleId="stikkord0">
    <w:name w:val="stikkord"/>
    <w:uiPriority w:val="99"/>
  </w:style>
  <w:style w:type="character" w:styleId="Sterk">
    <w:name w:val="Strong"/>
    <w:basedOn w:val="Standardskriftforavsnitt"/>
    <w:uiPriority w:val="22"/>
    <w:qFormat/>
    <w:rsid w:val="00676F59"/>
    <w:rPr>
      <w:b/>
    </w:rPr>
  </w:style>
  <w:style w:type="table" w:customStyle="1" w:styleId="Tabell-VM">
    <w:name w:val="Tabell-VM"/>
    <w:basedOn w:val="Tabelltemaer"/>
    <w:uiPriority w:val="99"/>
    <w:qFormat/>
    <w:rsid w:val="00676F59"/>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676F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76F59"/>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676F59"/>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76F59"/>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table" w:styleId="Tabellrutenett">
    <w:name w:val="Table Grid"/>
    <w:basedOn w:val="Vanligtabell"/>
    <w:uiPriority w:val="59"/>
    <w:rsid w:val="00676F59"/>
    <w:pPr>
      <w:spacing w:after="0" w:line="240" w:lineRule="auto"/>
    </w:pPr>
    <w:rPr>
      <w:rFonts w:ascii="Times" w:eastAsia="Batang" w:hAnsi="Time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andardTabell">
    <w:name w:val="StandardTabell"/>
    <w:basedOn w:val="Vanligtabell"/>
    <w:uiPriority w:val="99"/>
    <w:qFormat/>
    <w:rsid w:val="00676F59"/>
    <w:pPr>
      <w:spacing w:after="0" w:line="240"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676F59"/>
    <w:pPr>
      <w:spacing w:after="0" w:line="240"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character" w:styleId="HTML-akronym">
    <w:name w:val="HTML Acronym"/>
    <w:basedOn w:val="Standardskriftforavsnitt"/>
    <w:uiPriority w:val="99"/>
    <w:semiHidden/>
    <w:unhideWhenUsed/>
    <w:rsid w:val="00676F59"/>
  </w:style>
  <w:style w:type="character" w:styleId="Linjenummer">
    <w:name w:val="line number"/>
    <w:basedOn w:val="Standardskriftforavsnitt"/>
    <w:uiPriority w:val="99"/>
    <w:semiHidden/>
    <w:unhideWhenUsed/>
    <w:rsid w:val="00676F59"/>
  </w:style>
  <w:style w:type="numbering" w:customStyle="1" w:styleId="l-NummerertListeStil">
    <w:name w:val="l-NummerertListeStil"/>
    <w:pPr>
      <w:numPr>
        <w:numId w:val="20"/>
      </w:numPr>
    </w:pPr>
  </w:style>
  <w:style w:type="numbering" w:customStyle="1" w:styleId="OpplistingListeStil">
    <w:name w:val="OpplistingListeStil"/>
    <w:pPr>
      <w:numPr>
        <w:numId w:val="22"/>
      </w:numPr>
    </w:pPr>
  </w:style>
  <w:style w:type="numbering" w:customStyle="1" w:styleId="OverskrifterListeStil">
    <w:name w:val="OverskrifterListeStil"/>
    <w:pPr>
      <w:numPr>
        <w:numId w:val="23"/>
      </w:numPr>
    </w:pPr>
  </w:style>
  <w:style w:type="numbering" w:customStyle="1" w:styleId="NrListeStil">
    <w:name w:val="NrListeStil"/>
    <w:pPr>
      <w:numPr>
        <w:numId w:val="21"/>
      </w:numPr>
    </w:pPr>
  </w:style>
  <w:style w:type="numbering" w:customStyle="1" w:styleId="l-ListeStilMal">
    <w:name w:val="l-ListeStilMal"/>
    <w:pPr>
      <w:numPr>
        <w:numId w:val="19"/>
      </w:numPr>
    </w:pPr>
  </w:style>
  <w:style w:type="numbering" w:customStyle="1" w:styleId="RomListeStil">
    <w:name w:val="RomListeStil"/>
    <w:pPr>
      <w:numPr>
        <w:numId w:val="24"/>
      </w:numPr>
    </w:pPr>
  </w:style>
  <w:style w:type="numbering" w:customStyle="1" w:styleId="l-AlfaListeStil">
    <w:name w:val="l-AlfaListeStil"/>
    <w:pPr>
      <w:numPr>
        <w:numId w:val="18"/>
      </w:numPr>
    </w:pPr>
  </w:style>
  <w:style w:type="numbering" w:customStyle="1" w:styleId="AlfaListeStil">
    <w:name w:val="AlfaListeStil"/>
    <w:pPr>
      <w:numPr>
        <w:numId w:val="17"/>
      </w:numPr>
    </w:pPr>
  </w:style>
  <w:style w:type="numbering" w:customStyle="1" w:styleId="StrekListeStil">
    <w:name w:val="StrekListeStil"/>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0D455-BA6F-484F-8EBA-8EE58BC0F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FagPrp-mal-V11.dotx</Template>
  <TotalTime>6</TotalTime>
  <Pages>167</Pages>
  <Words>72245</Words>
  <Characters>430222</Characters>
  <Application>Microsoft Office Word</Application>
  <DocSecurity>0</DocSecurity>
  <Lines>3585</Lines>
  <Paragraphs>1002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Reidun</dc:creator>
  <cp:lastModifiedBy>Reidun</cp:lastModifiedBy>
  <cp:revision>8</cp:revision>
  <dcterms:created xsi:type="dcterms:W3CDTF">2018-09-25T10:59:00Z</dcterms:created>
  <dcterms:modified xsi:type="dcterms:W3CDTF">2018-09-25T11:24:00Z</dcterms:modified>
</cp:coreProperties>
</file>